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67E3" w14:textId="77777777" w:rsidR="0085418B" w:rsidRDefault="00D249FA">
      <w:pPr>
        <w:rPr>
          <w:lang w:val="lt-LT"/>
        </w:rPr>
      </w:pPr>
      <w:r w:rsidRPr="00D249FA">
        <w:rPr>
          <w:noProof/>
          <w:lang w:val="lt-LT"/>
        </w:rPr>
        <w:drawing>
          <wp:inline distT="0" distB="0" distL="0" distR="0" wp14:anchorId="5274A11A" wp14:editId="5F554DD1">
            <wp:extent cx="3000375" cy="352425"/>
            <wp:effectExtent l="19050" t="0" r="9525" b="0"/>
            <wp:docPr id="1" name="Picture 1" descr="LSM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M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6846B" w14:textId="258028AE" w:rsidR="0085173F" w:rsidRDefault="0085173F" w:rsidP="00EE2833">
      <w:pPr>
        <w:tabs>
          <w:tab w:val="center" w:pos="4680"/>
          <w:tab w:val="left" w:pos="8445"/>
        </w:tabs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EE2833">
        <w:rPr>
          <w:rFonts w:ascii="Times New Roman" w:hAnsi="Times New Roman" w:cs="Times New Roman"/>
          <w:sz w:val="28"/>
          <w:szCs w:val="28"/>
          <w:lang w:val="pt-BR"/>
        </w:rPr>
        <w:t xml:space="preserve">Studijų programos </w:t>
      </w:r>
      <w:r w:rsidRPr="00EE2833">
        <w:rPr>
          <w:rFonts w:ascii="Times New Roman" w:hAnsi="Times New Roman" w:cs="Times New Roman"/>
          <w:b/>
          <w:sz w:val="28"/>
          <w:szCs w:val="28"/>
          <w:lang w:val="pt-BR"/>
        </w:rPr>
        <w:t>Laboratorinės medicinos</w:t>
      </w:r>
      <w:r w:rsidRPr="00EE283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E2833">
        <w:rPr>
          <w:rFonts w:ascii="Times New Roman" w:hAnsi="Times New Roman" w:cs="Times New Roman"/>
          <w:b/>
          <w:sz w:val="28"/>
          <w:szCs w:val="28"/>
          <w:lang w:val="pt-BR"/>
        </w:rPr>
        <w:t>biologija</w:t>
      </w:r>
      <w:r w:rsidRPr="00EE2833">
        <w:rPr>
          <w:rFonts w:ascii="Times New Roman" w:hAnsi="Times New Roman" w:cs="Times New Roman"/>
          <w:sz w:val="28"/>
          <w:szCs w:val="28"/>
          <w:lang w:val="pt-BR"/>
        </w:rPr>
        <w:t xml:space="preserve"> aprašas</w:t>
      </w:r>
    </w:p>
    <w:p w14:paraId="0B4FFB64" w14:textId="27D6DDE8" w:rsidR="00CE438E" w:rsidRPr="006769A3" w:rsidRDefault="00F56834" w:rsidP="00AE357E">
      <w:pPr>
        <w:pStyle w:val="Default"/>
        <w:jc w:val="right"/>
        <w:rPr>
          <w:lang w:val="pt-BR"/>
        </w:rPr>
      </w:pPr>
      <w:hyperlink r:id="rId8" w:history="1">
        <w:r w:rsidR="00CE438E" w:rsidRPr="00F56834">
          <w:rPr>
            <w:rStyle w:val="Hyperlink"/>
            <w:i/>
            <w:iCs/>
            <w:lang w:val="pt-BR"/>
          </w:rPr>
          <w:t>Programos studijų planai</w:t>
        </w:r>
      </w:hyperlink>
    </w:p>
    <w:p w14:paraId="70FA4563" w14:textId="7641EF9B" w:rsidR="00CE438E" w:rsidRPr="006769A3" w:rsidRDefault="00BF7FA8" w:rsidP="00AE357E">
      <w:pPr>
        <w:tabs>
          <w:tab w:val="center" w:pos="4680"/>
          <w:tab w:val="left" w:pos="8445"/>
        </w:tabs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hyperlink r:id="rId9" w:history="1">
        <w:r w:rsidR="00CE438E" w:rsidRPr="00BF7FA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t-BR"/>
          </w:rPr>
          <w:t>Studijų programos dalykų schema su kreditais</w:t>
        </w:r>
      </w:hyperlink>
    </w:p>
    <w:tbl>
      <w:tblPr>
        <w:tblStyle w:val="TableGrid"/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580"/>
      </w:tblGrid>
      <w:tr w:rsidR="00F80FDD" w:rsidRPr="00F26756" w14:paraId="20E63CA1" w14:textId="77777777" w:rsidTr="006769A3">
        <w:tc>
          <w:tcPr>
            <w:tcW w:w="4305" w:type="dxa"/>
          </w:tcPr>
          <w:p w14:paraId="2442F6EE" w14:textId="77777777" w:rsidR="00F80FDD" w:rsidRPr="00F26756" w:rsidRDefault="00F80FDD" w:rsidP="00F606E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teikiantis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fakultetas </w:t>
            </w:r>
          </w:p>
        </w:tc>
        <w:tc>
          <w:tcPr>
            <w:tcW w:w="5580" w:type="dxa"/>
          </w:tcPr>
          <w:p w14:paraId="3807DE41" w14:textId="77777777" w:rsidR="00F80FDD" w:rsidRPr="00F26756" w:rsidRDefault="00F80FDD" w:rsidP="00F606E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Medicinos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fakultetas</w:t>
            </w:r>
          </w:p>
        </w:tc>
      </w:tr>
      <w:tr w:rsidR="0085173F" w:rsidRPr="00F26756" w14:paraId="019DEC0E" w14:textId="77777777" w:rsidTr="006769A3">
        <w:tc>
          <w:tcPr>
            <w:tcW w:w="4305" w:type="dxa"/>
          </w:tcPr>
          <w:p w14:paraId="3BB0BE3C" w14:textId="77777777" w:rsidR="00F80FDD" w:rsidRPr="00F26756" w:rsidRDefault="00F80FD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507F7" w14:textId="77777777" w:rsidR="00F5555A" w:rsidRDefault="00F80FDD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valstybinis</w:t>
            </w:r>
            <w:proofErr w:type="spellEnd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kodas</w:t>
            </w:r>
            <w:proofErr w:type="spellEnd"/>
          </w:p>
          <w:p w14:paraId="58E17924" w14:textId="77777777" w:rsidR="00F5555A" w:rsidRDefault="00F80FDD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studijų</w:t>
            </w:r>
            <w:proofErr w:type="spellEnd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krypties</w:t>
            </w:r>
            <w:proofErr w:type="spellEnd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grupė</w:t>
            </w:r>
            <w:proofErr w:type="spellEnd"/>
          </w:p>
          <w:p w14:paraId="0462A221" w14:textId="77777777" w:rsidR="00F5555A" w:rsidRDefault="00F80FDD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studijų</w:t>
            </w:r>
            <w:proofErr w:type="spellEnd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kryptis</w:t>
            </w:r>
            <w:proofErr w:type="spellEnd"/>
          </w:p>
          <w:p w14:paraId="597C96B6" w14:textId="77777777" w:rsidR="00F5555A" w:rsidRDefault="00F80FDD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studijų</w:t>
            </w:r>
            <w:proofErr w:type="spellEnd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trukmė</w:t>
            </w:r>
            <w:proofErr w:type="spellEnd"/>
          </w:p>
          <w:p w14:paraId="2D4CDF9B" w14:textId="77777777" w:rsidR="00F5555A" w:rsidRDefault="00F80FDD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programos</w:t>
            </w:r>
            <w:proofErr w:type="spellEnd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apimtis</w:t>
            </w:r>
            <w:proofErr w:type="spellEnd"/>
          </w:p>
          <w:p w14:paraId="2E1D95C5" w14:textId="63757D18" w:rsidR="0085173F" w:rsidRPr="00F5555A" w:rsidRDefault="00F80FDD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>studijų</w:t>
            </w:r>
            <w:proofErr w:type="spellEnd"/>
            <w:r w:rsidRPr="00DE1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forma</w:t>
            </w:r>
          </w:p>
        </w:tc>
        <w:tc>
          <w:tcPr>
            <w:tcW w:w="5580" w:type="dxa"/>
          </w:tcPr>
          <w:p w14:paraId="40076A9A" w14:textId="77777777" w:rsidR="00F80FDD" w:rsidRPr="00F26756" w:rsidRDefault="00F80FD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6D15" w14:textId="77777777" w:rsidR="0085173F" w:rsidRPr="00F26756" w:rsidRDefault="00F80FDD" w:rsidP="00F606E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6211GX004</w:t>
            </w:r>
          </w:p>
          <w:p w14:paraId="2112C859" w14:textId="77777777" w:rsidR="00F80FDD" w:rsidRPr="00F26756" w:rsidRDefault="00F80FDD" w:rsidP="00F606E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Sveikatos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mokslai</w:t>
            </w:r>
            <w:proofErr w:type="spellEnd"/>
          </w:p>
          <w:p w14:paraId="689CD2C6" w14:textId="77777777" w:rsidR="00F80FDD" w:rsidRPr="00F26756" w:rsidRDefault="00F80FDD" w:rsidP="00F606E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  <w:proofErr w:type="spellEnd"/>
          </w:p>
          <w:p w14:paraId="634EEAF7" w14:textId="77777777" w:rsidR="00DE14DA" w:rsidRDefault="00F80FDD" w:rsidP="00F606E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  <w:proofErr w:type="spellEnd"/>
          </w:p>
          <w:p w14:paraId="6598FB4A" w14:textId="77777777" w:rsidR="00F80FDD" w:rsidRPr="00F26756" w:rsidRDefault="00F80FDD" w:rsidP="00F606E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kreditų</w:t>
            </w:r>
            <w:proofErr w:type="spellEnd"/>
          </w:p>
          <w:p w14:paraId="38ED45DC" w14:textId="77777777" w:rsidR="00F80FDD" w:rsidRPr="00F26756" w:rsidRDefault="00F80FDD" w:rsidP="00F606E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Nuolatinė</w:t>
            </w:r>
            <w:proofErr w:type="spellEnd"/>
          </w:p>
        </w:tc>
      </w:tr>
      <w:tr w:rsidR="0085173F" w:rsidRPr="00F26756" w14:paraId="5B1AE60D" w14:textId="77777777" w:rsidTr="006769A3">
        <w:tc>
          <w:tcPr>
            <w:tcW w:w="4305" w:type="dxa"/>
          </w:tcPr>
          <w:p w14:paraId="2275947A" w14:textId="77777777" w:rsidR="0085173F" w:rsidRPr="00F26756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Suteikiamas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kvalifikacinis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laipsnis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profesinė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kvalifikacija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14:paraId="13CDD96D" w14:textId="77777777" w:rsidR="0085173F" w:rsidRPr="00F26756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Sveikatos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mokslų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  <w:proofErr w:type="spellEnd"/>
          </w:p>
        </w:tc>
      </w:tr>
      <w:tr w:rsidR="0085173F" w:rsidRPr="00F26756" w14:paraId="281C3781" w14:textId="77777777" w:rsidTr="006769A3">
        <w:tc>
          <w:tcPr>
            <w:tcW w:w="4305" w:type="dxa"/>
          </w:tcPr>
          <w:p w14:paraId="31F872CD" w14:textId="77777777" w:rsidR="0085173F" w:rsidRPr="00F26756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Pakopa</w:t>
            </w:r>
            <w:proofErr w:type="spellEnd"/>
          </w:p>
        </w:tc>
        <w:tc>
          <w:tcPr>
            <w:tcW w:w="5580" w:type="dxa"/>
          </w:tcPr>
          <w:p w14:paraId="2358FE30" w14:textId="77777777" w:rsidR="0085173F" w:rsidRPr="00F26756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Antrosios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pakopos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studijos</w:t>
            </w:r>
            <w:proofErr w:type="spellEnd"/>
          </w:p>
        </w:tc>
      </w:tr>
      <w:tr w:rsidR="0085173F" w:rsidRPr="00F26756" w14:paraId="0AFFC191" w14:textId="77777777" w:rsidTr="006769A3">
        <w:tc>
          <w:tcPr>
            <w:tcW w:w="4305" w:type="dxa"/>
          </w:tcPr>
          <w:p w14:paraId="5D8A0EF4" w14:textId="77777777" w:rsidR="0085173F" w:rsidRPr="00F26756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Priėmimo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proofErr w:type="spellEnd"/>
          </w:p>
        </w:tc>
        <w:tc>
          <w:tcPr>
            <w:tcW w:w="5580" w:type="dxa"/>
          </w:tcPr>
          <w:p w14:paraId="146C7E3C" w14:textId="77777777" w:rsidR="00C66317" w:rsidRPr="00F26756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Būtinas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minimalus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išsilavinimas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prilygstantis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kvalifikacinis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laipsnis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3843D" w14:textId="0C6D0061" w:rsidR="00C66317" w:rsidRPr="00F26756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Kryptys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BE58CBC" w14:textId="77777777" w:rsidR="006769A3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</w:p>
          <w:p w14:paraId="7181B85F" w14:textId="77777777" w:rsidR="006769A3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Genetika</w:t>
            </w:r>
            <w:proofErr w:type="spellEnd"/>
          </w:p>
          <w:p w14:paraId="5EC2BD72" w14:textId="77777777" w:rsidR="006769A3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Mikrobiologija</w:t>
            </w:r>
            <w:proofErr w:type="spellEnd"/>
          </w:p>
          <w:p w14:paraId="2610423E" w14:textId="77777777" w:rsidR="006769A3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Molekulinė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biofizika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  <w:proofErr w:type="spellEnd"/>
          </w:p>
          <w:p w14:paraId="4363EB94" w14:textId="77777777" w:rsidR="006769A3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  <w:proofErr w:type="spellEnd"/>
          </w:p>
          <w:p w14:paraId="01041D2B" w14:textId="77777777" w:rsidR="006769A3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sveikata</w:t>
            </w:r>
            <w:proofErr w:type="spellEnd"/>
          </w:p>
          <w:p w14:paraId="36506ACE" w14:textId="77777777" w:rsidR="006769A3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Visuomenės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sveikata</w:t>
            </w:r>
            <w:proofErr w:type="spellEnd"/>
          </w:p>
          <w:p w14:paraId="54D1ADA7" w14:textId="7ACD700C" w:rsidR="0085173F" w:rsidRPr="00F26756" w:rsidRDefault="00C66317" w:rsidP="00F606E7">
            <w:pPr>
              <w:tabs>
                <w:tab w:val="center" w:pos="4680"/>
                <w:tab w:val="left" w:pos="8445"/>
              </w:tabs>
              <w:spacing w:before="80" w:after="8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Slauga</w:t>
            </w:r>
            <w:proofErr w:type="spellEnd"/>
          </w:p>
        </w:tc>
      </w:tr>
      <w:tr w:rsidR="0085173F" w:rsidRPr="00F26756" w14:paraId="40C90062" w14:textId="77777777" w:rsidTr="006769A3">
        <w:tc>
          <w:tcPr>
            <w:tcW w:w="4305" w:type="dxa"/>
          </w:tcPr>
          <w:p w14:paraId="10B18409" w14:textId="17F2F24B" w:rsidR="001827AD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ypatumai</w:t>
            </w:r>
            <w:proofErr w:type="spellEnd"/>
          </w:p>
          <w:p w14:paraId="05231521" w14:textId="77777777" w:rsidR="0085173F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26756">
              <w:rPr>
                <w:rFonts w:ascii="Times New Roman" w:hAnsi="Times New Roman" w:cs="Times New Roman"/>
                <w:i/>
                <w:sz w:val="24"/>
                <w:szCs w:val="24"/>
              </w:rPr>
              <w:t>anotacija</w:t>
            </w:r>
            <w:proofErr w:type="spellEnd"/>
            <w:r w:rsidRPr="00F267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14:paraId="2DEE4DE2" w14:textId="77777777" w:rsidR="001827AD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pagrįsta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glaudžia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teorinių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praktinio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integracija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multidisciplininis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profilis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suteikia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absolventams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galimybes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pasirinkti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norimą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laboratorinės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medicinos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profilį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EA81A" w14:textId="5E45E476" w:rsidR="001827AD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Absolventai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galės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7997FF" w14:textId="07C40435" w:rsidR="0085173F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verstis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medicinos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biologo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praktika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sveikatos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įstaigose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turinčiose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licenciją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laboratorinės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diagnostikos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vertinti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interpretuoti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klinikinės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chemijos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hematologijos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bendrosios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citologijos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imunologijos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mikrobiologijos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genetikos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kitus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klinikinius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laboratorinius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tyrimus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204" w:rsidRPr="00F26756" w14:paraId="1F2A5B0B" w14:textId="77777777" w:rsidTr="006769A3">
        <w:tc>
          <w:tcPr>
            <w:tcW w:w="4305" w:type="dxa"/>
          </w:tcPr>
          <w:p w14:paraId="6CFD853A" w14:textId="77777777" w:rsidR="00CF3204" w:rsidRPr="00F26756" w:rsidRDefault="00CF3204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4ECE56D" w14:textId="077D8792" w:rsidR="00CF3204" w:rsidRPr="00F26756" w:rsidRDefault="00CF3204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dirbti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taikomąją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vykdančių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institucijų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laboratorijose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73F" w:rsidRPr="00F26756" w14:paraId="77CA8D8D" w14:textId="77777777" w:rsidTr="006769A3">
        <w:tc>
          <w:tcPr>
            <w:tcW w:w="4305" w:type="dxa"/>
          </w:tcPr>
          <w:p w14:paraId="7A2074E8" w14:textId="77777777" w:rsidR="0085173F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Studentų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mainų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</w:p>
        </w:tc>
        <w:tc>
          <w:tcPr>
            <w:tcW w:w="5580" w:type="dxa"/>
          </w:tcPr>
          <w:p w14:paraId="4A31E928" w14:textId="77777777" w:rsidR="0085173F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mainų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73F" w:rsidRPr="00F26756" w14:paraId="70CA51FE" w14:textId="77777777" w:rsidTr="006769A3">
        <w:tc>
          <w:tcPr>
            <w:tcW w:w="4305" w:type="dxa"/>
          </w:tcPr>
          <w:p w14:paraId="30A55B40" w14:textId="77777777" w:rsidR="0085173F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Tolesnių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</w:p>
        </w:tc>
        <w:tc>
          <w:tcPr>
            <w:tcW w:w="5580" w:type="dxa"/>
          </w:tcPr>
          <w:p w14:paraId="52AA77FF" w14:textId="77777777" w:rsidR="0085173F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Absolventai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galės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tęsti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studijas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biomedicinos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mokslų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srities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doktorantūros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programose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73F" w:rsidRPr="00F26756" w14:paraId="2198267F" w14:textId="77777777" w:rsidTr="006769A3">
        <w:tc>
          <w:tcPr>
            <w:tcW w:w="4305" w:type="dxa"/>
          </w:tcPr>
          <w:p w14:paraId="1CB86DBE" w14:textId="77777777" w:rsidR="0085173F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</w:p>
        </w:tc>
        <w:tc>
          <w:tcPr>
            <w:tcW w:w="5580" w:type="dxa"/>
          </w:tcPr>
          <w:p w14:paraId="6A56DE39" w14:textId="77777777" w:rsidR="0085173F" w:rsidRPr="00F26756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28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Taikomas formuojamasis (neformalusis) vertinimas ir formalusis vertinimas, paremtas kaupiamuoju balu. Kiekvieno dalyko (modulio) studijos baigiamos egzaminu arba savarankiškai atlikto projektinio darbo pristatymu ir vertinimu.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pabaigoje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laikomas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baigiamasis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egzaminas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ginamas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magistro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Pr="00F2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73F" w:rsidRPr="00A80B4F" w14:paraId="5A4B11FF" w14:textId="77777777" w:rsidTr="006769A3">
        <w:tc>
          <w:tcPr>
            <w:tcW w:w="4305" w:type="dxa"/>
          </w:tcPr>
          <w:p w14:paraId="65099E4A" w14:textId="77777777" w:rsidR="001827AD" w:rsidRPr="00EE2833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E28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Studijų programos komiteto</w:t>
            </w:r>
          </w:p>
          <w:p w14:paraId="3D0A7A03" w14:textId="30816E00" w:rsidR="0085173F" w:rsidRPr="00EE2833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E28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pirmininkas ir nariai</w:t>
            </w:r>
          </w:p>
        </w:tc>
        <w:tc>
          <w:tcPr>
            <w:tcW w:w="5580" w:type="dxa"/>
          </w:tcPr>
          <w:p w14:paraId="55F7ABF7" w14:textId="7065B29D" w:rsidR="001827AD" w:rsidRPr="00EE2833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E283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Pirmininkė</w:t>
            </w:r>
            <w:r w:rsidRPr="00EE28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Astra Vitkauskienė, prof. dr.,</w:t>
            </w:r>
          </w:p>
          <w:p w14:paraId="198D0BA2" w14:textId="77777777" w:rsidR="001827AD" w:rsidRPr="00EE2833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E28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tel: (+370 37) 326775, </w:t>
            </w:r>
          </w:p>
          <w:p w14:paraId="530404B7" w14:textId="6E156C6A" w:rsidR="0085173F" w:rsidRPr="00EE2833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E28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el.paštas: </w:t>
            </w:r>
            <w:hyperlink r:id="rId10" w:history="1">
              <w:r w:rsidR="00F606E7" w:rsidRPr="00AF7EF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/>
                </w:rPr>
                <w:t>astra.vitkauskiene@lsmu.lt</w:t>
              </w:r>
            </w:hyperlink>
          </w:p>
          <w:p w14:paraId="5C35C987" w14:textId="77777777" w:rsidR="00F372B6" w:rsidRPr="00EE2833" w:rsidRDefault="00F372B6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813336" w14:textId="77777777" w:rsidR="001827AD" w:rsidRPr="00EE2833" w:rsidRDefault="001827AD" w:rsidP="00F606E7">
            <w:pPr>
              <w:tabs>
                <w:tab w:val="center" w:pos="4680"/>
                <w:tab w:val="left" w:pos="8445"/>
              </w:tabs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E283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Nariai:</w:t>
            </w:r>
          </w:p>
          <w:p w14:paraId="6D0A1A16" w14:textId="1197E584" w:rsidR="0081321E" w:rsidRPr="00222852" w:rsidRDefault="001827AD" w:rsidP="00F606E7">
            <w:pPr>
              <w:pStyle w:val="NormalWeb"/>
              <w:spacing w:before="80" w:beforeAutospacing="0" w:after="80" w:afterAutospacing="0"/>
              <w:rPr>
                <w:color w:val="000000"/>
                <w:lang w:val="pt-BR"/>
              </w:rPr>
            </w:pPr>
            <w:r w:rsidRPr="00EE2833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Erika Skrodenienė</w:t>
            </w:r>
            <w:r w:rsidR="008C6F1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,</w:t>
            </w:r>
            <w:r w:rsidR="0081321E" w:rsidRPr="0022285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 xml:space="preserve"> prof. dr.,</w:t>
            </w:r>
          </w:p>
          <w:p w14:paraId="23E3885E" w14:textId="0B4CC59C" w:rsidR="001827AD" w:rsidRPr="00222852" w:rsidRDefault="00D87E93" w:rsidP="00F606E7">
            <w:pPr>
              <w:pStyle w:val="NormalWeb"/>
              <w:spacing w:before="80" w:beforeAutospacing="0" w:after="80" w:afterAutospacing="0"/>
              <w:rPr>
                <w:color w:val="000000"/>
                <w:lang w:val="pt-BR"/>
              </w:rPr>
            </w:pPr>
            <w:r w:rsidRPr="0022285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Daiva Urbonienė</w:t>
            </w:r>
            <w:r w:rsidR="008C6F1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,</w:t>
            </w:r>
            <w:r w:rsidRPr="0022285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 xml:space="preserve"> </w:t>
            </w:r>
            <w:r w:rsidR="001827AD" w:rsidRPr="0022285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prof. dr.,</w:t>
            </w:r>
          </w:p>
          <w:p w14:paraId="6AF3319F" w14:textId="1B459E2F" w:rsidR="001827AD" w:rsidRPr="00EE2833" w:rsidRDefault="00D87E93" w:rsidP="00F606E7">
            <w:pPr>
              <w:pStyle w:val="NormalWeb"/>
              <w:spacing w:before="80" w:beforeAutospacing="0" w:after="80" w:afterAutospacing="0"/>
              <w:rPr>
                <w:color w:val="000000"/>
                <w:lang w:val="pt-BR"/>
              </w:rPr>
            </w:pPr>
            <w:r w:rsidRPr="00EE2833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Albinas Naudžiūnas</w:t>
            </w:r>
            <w:r w:rsidR="008C6F1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,</w:t>
            </w:r>
            <w:r w:rsidRPr="00D87E93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 xml:space="preserve"> </w:t>
            </w:r>
            <w:r w:rsidR="001827AD" w:rsidRPr="00D87E93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prof. habil. dr.</w:t>
            </w:r>
            <w:r w:rsidR="001827AD" w:rsidRPr="00EE2833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,</w:t>
            </w:r>
          </w:p>
          <w:p w14:paraId="0EC398CD" w14:textId="15CADDC8" w:rsidR="001827AD" w:rsidRPr="00EE2833" w:rsidRDefault="00D87E93" w:rsidP="00F606E7">
            <w:pPr>
              <w:pStyle w:val="NormalWeb"/>
              <w:spacing w:before="80" w:beforeAutospacing="0" w:after="80" w:afterAutospacing="0"/>
              <w:rPr>
                <w:color w:val="000000"/>
                <w:lang w:val="pt-BR"/>
              </w:rPr>
            </w:pPr>
            <w:r w:rsidRPr="00EE2833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Solveiga Zenona Gudžinskienė</w:t>
            </w:r>
            <w:r w:rsidR="008924C8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 xml:space="preserve">, </w:t>
            </w:r>
            <w:r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s</w:t>
            </w:r>
            <w:r w:rsidR="001827AD" w:rsidRPr="00EE2833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ocialinių partnerių atstovė</w:t>
            </w:r>
            <w:r w:rsidR="008C6F1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 xml:space="preserve"> (</w:t>
            </w:r>
            <w:r w:rsidR="0022285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Antėja laboratorija</w:t>
            </w:r>
            <w:r w:rsidR="008C6F12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)</w:t>
            </w:r>
            <w:r w:rsidR="001827AD" w:rsidRPr="00EE2833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,</w:t>
            </w:r>
          </w:p>
          <w:p w14:paraId="2A64061B" w14:textId="5C237853" w:rsidR="001827AD" w:rsidRPr="00A80B4F" w:rsidRDefault="00D87E93" w:rsidP="00F606E7">
            <w:pPr>
              <w:pStyle w:val="NormalWeb"/>
              <w:spacing w:before="80" w:beforeAutospacing="0" w:after="80" w:afterAutospacing="0"/>
              <w:rPr>
                <w:lang w:val="pt-BR"/>
              </w:rPr>
            </w:pPr>
            <w:r w:rsidRPr="00A80B4F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Dominyka Visockytė</w:t>
            </w:r>
            <w:r w:rsidR="008924C8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 xml:space="preserve">, </w:t>
            </w:r>
            <w:r w:rsidR="001827AD" w:rsidRPr="00A80B4F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LSMU SA atstov</w:t>
            </w:r>
            <w:r w:rsidR="00A80B4F">
              <w:rPr>
                <w:rStyle w:val="xxcontentpasted0"/>
                <w:color w:val="000000"/>
                <w:bdr w:val="none" w:sz="0" w:space="0" w:color="auto" w:frame="1"/>
                <w:lang w:val="lt-LT"/>
              </w:rPr>
              <w:t>ė</w:t>
            </w:r>
            <w:r w:rsidR="001827AD" w:rsidRPr="00A80B4F">
              <w:rPr>
                <w:rStyle w:val="xxcontentpasted0"/>
                <w:color w:val="000000"/>
                <w:bdr w:val="none" w:sz="0" w:space="0" w:color="auto" w:frame="1"/>
                <w:lang w:val="pt-BR"/>
              </w:rPr>
              <w:t>.</w:t>
            </w:r>
          </w:p>
        </w:tc>
      </w:tr>
    </w:tbl>
    <w:p w14:paraId="0CFE5BD3" w14:textId="77777777" w:rsidR="0085173F" w:rsidRPr="00A80B4F" w:rsidRDefault="0085173F" w:rsidP="0085173F">
      <w:pPr>
        <w:tabs>
          <w:tab w:val="center" w:pos="4680"/>
          <w:tab w:val="left" w:pos="8445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14:paraId="15156E9E" w14:textId="77777777" w:rsidR="0085173F" w:rsidRPr="00A80B4F" w:rsidRDefault="0085173F" w:rsidP="0085173F">
      <w:pPr>
        <w:tabs>
          <w:tab w:val="center" w:pos="4680"/>
          <w:tab w:val="left" w:pos="8445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14:paraId="72416961" w14:textId="77777777" w:rsidR="0085173F" w:rsidRPr="0085173F" w:rsidRDefault="0085173F" w:rsidP="0085173F">
      <w:pPr>
        <w:tabs>
          <w:tab w:val="center" w:pos="4680"/>
          <w:tab w:val="left" w:pos="844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sectPr w:rsidR="0085173F" w:rsidRPr="0085173F" w:rsidSect="00F606E7">
      <w:pgSz w:w="12240" w:h="15840"/>
      <w:pgMar w:top="99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484D" w14:textId="77777777" w:rsidR="00CB28FF" w:rsidRDefault="00CB28FF" w:rsidP="0085173F">
      <w:pPr>
        <w:spacing w:after="0" w:line="240" w:lineRule="auto"/>
      </w:pPr>
      <w:r>
        <w:separator/>
      </w:r>
    </w:p>
  </w:endnote>
  <w:endnote w:type="continuationSeparator" w:id="0">
    <w:p w14:paraId="28C464A6" w14:textId="77777777" w:rsidR="00CB28FF" w:rsidRDefault="00CB28FF" w:rsidP="0085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8D39" w14:textId="77777777" w:rsidR="00CB28FF" w:rsidRDefault="00CB28FF" w:rsidP="0085173F">
      <w:pPr>
        <w:spacing w:after="0" w:line="240" w:lineRule="auto"/>
      </w:pPr>
      <w:r>
        <w:separator/>
      </w:r>
    </w:p>
  </w:footnote>
  <w:footnote w:type="continuationSeparator" w:id="0">
    <w:p w14:paraId="26CAE32C" w14:textId="77777777" w:rsidR="00CB28FF" w:rsidRDefault="00CB28FF" w:rsidP="0085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3F"/>
    <w:rsid w:val="000B745C"/>
    <w:rsid w:val="000E6DFC"/>
    <w:rsid w:val="000F17CF"/>
    <w:rsid w:val="001827AD"/>
    <w:rsid w:val="001C1678"/>
    <w:rsid w:val="00222852"/>
    <w:rsid w:val="00222C06"/>
    <w:rsid w:val="002600B5"/>
    <w:rsid w:val="003B7808"/>
    <w:rsid w:val="00563851"/>
    <w:rsid w:val="006769A3"/>
    <w:rsid w:val="0073458B"/>
    <w:rsid w:val="00744AF9"/>
    <w:rsid w:val="0081321E"/>
    <w:rsid w:val="0085173F"/>
    <w:rsid w:val="0085418B"/>
    <w:rsid w:val="008924C8"/>
    <w:rsid w:val="008C6F12"/>
    <w:rsid w:val="00952BB8"/>
    <w:rsid w:val="00A80B4F"/>
    <w:rsid w:val="00AE357E"/>
    <w:rsid w:val="00BF7FA8"/>
    <w:rsid w:val="00C54802"/>
    <w:rsid w:val="00C66317"/>
    <w:rsid w:val="00CB28FF"/>
    <w:rsid w:val="00CE438E"/>
    <w:rsid w:val="00CF3204"/>
    <w:rsid w:val="00D249FA"/>
    <w:rsid w:val="00D87E93"/>
    <w:rsid w:val="00DE14DA"/>
    <w:rsid w:val="00EE2833"/>
    <w:rsid w:val="00F26756"/>
    <w:rsid w:val="00F372B6"/>
    <w:rsid w:val="00F5555A"/>
    <w:rsid w:val="00F56834"/>
    <w:rsid w:val="00F606E7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A309"/>
  <w15:docId w15:val="{4587016C-1949-4D0F-A758-5457C099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73F"/>
  </w:style>
  <w:style w:type="paragraph" w:styleId="Footer">
    <w:name w:val="footer"/>
    <w:basedOn w:val="Normal"/>
    <w:link w:val="FooterChar"/>
    <w:uiPriority w:val="99"/>
    <w:semiHidden/>
    <w:unhideWhenUsed/>
    <w:rsid w:val="0085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73F"/>
  </w:style>
  <w:style w:type="table" w:styleId="TableGrid">
    <w:name w:val="Table Grid"/>
    <w:basedOn w:val="TableNormal"/>
    <w:uiPriority w:val="59"/>
    <w:rsid w:val="0085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7AD"/>
    <w:rPr>
      <w:color w:val="0000FF" w:themeColor="hyperlink"/>
      <w:u w:val="single"/>
    </w:rPr>
  </w:style>
  <w:style w:type="character" w:customStyle="1" w:styleId="xxcontentpasted0">
    <w:name w:val="x_x_contentpasted0"/>
    <w:basedOn w:val="DefaultParagraphFont"/>
    <w:rsid w:val="001827AD"/>
  </w:style>
  <w:style w:type="paragraph" w:styleId="NormalWeb">
    <w:name w:val="Normal (Web)"/>
    <w:basedOn w:val="Normal"/>
    <w:uiPriority w:val="99"/>
    <w:unhideWhenUsed/>
    <w:rsid w:val="0018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4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mu.lt/wp-content/uploads/2022/07/LT_stud_planas_labmedicinos_biologija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muni.lt/l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stra.vitkauskiene@lsmu.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smu.lt/wp-content/uploads/2022/11/Studiju-programos-dalyku-schema-su-kredita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labmed-1</dc:creator>
  <cp:lastModifiedBy>Miglė Smaidžiūnaitė</cp:lastModifiedBy>
  <cp:revision>23</cp:revision>
  <cp:lastPrinted>2022-11-11T12:11:00Z</cp:lastPrinted>
  <dcterms:created xsi:type="dcterms:W3CDTF">2022-11-13T22:29:00Z</dcterms:created>
  <dcterms:modified xsi:type="dcterms:W3CDTF">2022-11-14T14:11:00Z</dcterms:modified>
</cp:coreProperties>
</file>