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60FF" w14:textId="60E9E657" w:rsidR="00F316FA" w:rsidRPr="00034A34" w:rsidRDefault="00F316FA" w:rsidP="00F316FA">
      <w:pPr>
        <w:jc w:val="center"/>
        <w:rPr>
          <w:b/>
          <w:bCs/>
          <w:caps/>
          <w:lang w:val="en-GB"/>
        </w:rPr>
      </w:pPr>
      <w:r w:rsidRPr="00034A34">
        <w:rPr>
          <w:b/>
          <w:bCs/>
          <w:caps/>
          <w:noProof/>
          <w:lang w:val="en-GB"/>
        </w:rPr>
        <w:drawing>
          <wp:inline distT="0" distB="0" distL="0" distR="0" wp14:anchorId="37917F07" wp14:editId="30FDE028">
            <wp:extent cx="3083830" cy="74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257" cy="751393"/>
                    </a:xfrm>
                    <a:prstGeom prst="rect">
                      <a:avLst/>
                    </a:prstGeom>
                    <a:noFill/>
                    <a:ln>
                      <a:noFill/>
                    </a:ln>
                  </pic:spPr>
                </pic:pic>
              </a:graphicData>
            </a:graphic>
          </wp:inline>
        </w:drawing>
      </w:r>
    </w:p>
    <w:p w14:paraId="50CEF7F8" w14:textId="2B0BFA44" w:rsidR="00F316FA" w:rsidRPr="00034A34" w:rsidRDefault="00F316FA" w:rsidP="00F316FA">
      <w:pPr>
        <w:rPr>
          <w:rFonts w:ascii="Open Sans" w:hAnsi="Open Sans" w:cs="Open Sans"/>
          <w:b/>
          <w:bCs/>
          <w:caps/>
          <w:lang w:val="en-GB"/>
        </w:rPr>
      </w:pPr>
      <w:r w:rsidRPr="00034A34">
        <w:rPr>
          <w:rFonts w:ascii="Open Sans" w:hAnsi="Open Sans" w:cs="Open Sans"/>
          <w:b/>
          <w:bCs/>
          <w:caps/>
          <w:lang w:val="en-GB"/>
        </w:rPr>
        <w:t>Studijų programos „</w:t>
      </w:r>
      <w:r w:rsidR="00C253CC" w:rsidRPr="00034A34">
        <w:rPr>
          <w:rFonts w:cstheme="minorHAnsi"/>
          <w:b/>
          <w:color w:val="4472C4" w:themeColor="accent1"/>
          <w:sz w:val="24"/>
          <w:szCs w:val="24"/>
          <w:lang w:val="en-GB"/>
        </w:rPr>
        <w:t>Physiotherapy</w:t>
      </w:r>
      <w:r w:rsidR="00DA2378" w:rsidRPr="00034A34">
        <w:rPr>
          <w:rFonts w:ascii="Open Sans" w:hAnsi="Open Sans" w:cs="Open Sans"/>
          <w:b/>
          <w:bCs/>
          <w:caps/>
          <w:lang w:val="en-GB"/>
        </w:rPr>
        <w:t>.</w:t>
      </w:r>
      <w:r w:rsidRPr="00034A34">
        <w:rPr>
          <w:rFonts w:ascii="Open Sans" w:hAnsi="Open Sans" w:cs="Open Sans"/>
          <w:b/>
          <w:bCs/>
          <w:caps/>
          <w:lang w:val="en-GB"/>
        </w:rPr>
        <w:t>“ aprašas</w:t>
      </w:r>
    </w:p>
    <w:tbl>
      <w:tblPr>
        <w:tblStyle w:val="TableGrid"/>
        <w:tblW w:w="0" w:type="auto"/>
        <w:tblLook w:val="04A0" w:firstRow="1" w:lastRow="0" w:firstColumn="1" w:lastColumn="0" w:noHBand="0" w:noVBand="1"/>
      </w:tblPr>
      <w:tblGrid>
        <w:gridCol w:w="3325"/>
        <w:gridCol w:w="6514"/>
      </w:tblGrid>
      <w:tr w:rsidR="00F316FA" w:rsidRPr="00034A34" w14:paraId="2F1BD933" w14:textId="77777777" w:rsidTr="513B48BE">
        <w:tc>
          <w:tcPr>
            <w:tcW w:w="3325" w:type="dxa"/>
          </w:tcPr>
          <w:p w14:paraId="7060CBBA" w14:textId="6328F653"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Akademinis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padalinys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vykdantis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programą</w:t>
            </w:r>
            <w:proofErr w:type="spellEnd"/>
          </w:p>
        </w:tc>
        <w:tc>
          <w:tcPr>
            <w:tcW w:w="6514" w:type="dxa"/>
          </w:tcPr>
          <w:p w14:paraId="4C749242" w14:textId="166833C7" w:rsidR="00F316FA" w:rsidRPr="00034A34" w:rsidRDefault="00C253CC" w:rsidP="002F3E93">
            <w:pPr>
              <w:rPr>
                <w:rFonts w:cstheme="minorHAnsi"/>
                <w:color w:val="000000" w:themeColor="text1"/>
                <w:lang w:val="en-GB"/>
              </w:rPr>
            </w:pPr>
            <w:r w:rsidRPr="00034A34">
              <w:rPr>
                <w:rFonts w:cstheme="minorHAnsi"/>
                <w:color w:val="000000" w:themeColor="text1"/>
                <w:lang w:val="en-GB"/>
              </w:rPr>
              <w:t>Faculty of Nursing</w:t>
            </w:r>
          </w:p>
        </w:tc>
      </w:tr>
      <w:tr w:rsidR="00F316FA" w:rsidRPr="00034A34" w14:paraId="3FCAB4EF" w14:textId="77777777" w:rsidTr="513B48BE">
        <w:tc>
          <w:tcPr>
            <w:tcW w:w="3325" w:type="dxa"/>
          </w:tcPr>
          <w:p w14:paraId="6EE8B39A" w14:textId="357EBB06"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Valstybinis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kodas</w:t>
            </w:r>
            <w:proofErr w:type="spellEnd"/>
          </w:p>
        </w:tc>
        <w:tc>
          <w:tcPr>
            <w:tcW w:w="6514" w:type="dxa"/>
          </w:tcPr>
          <w:p w14:paraId="703F19B9" w14:textId="59D9AC18" w:rsidR="00F316FA" w:rsidRPr="00034A34" w:rsidRDefault="00C253CC" w:rsidP="00C253CC">
            <w:pPr>
              <w:rPr>
                <w:rFonts w:cstheme="minorHAnsi"/>
                <w:color w:val="000000" w:themeColor="text1"/>
                <w:lang w:val="en-GB"/>
              </w:rPr>
            </w:pPr>
            <w:r w:rsidRPr="00034A34">
              <w:rPr>
                <w:rFonts w:cstheme="minorHAnsi"/>
                <w:color w:val="000000" w:themeColor="text1"/>
                <w:lang w:val="en-GB"/>
              </w:rPr>
              <w:t>612B31002</w:t>
            </w:r>
          </w:p>
        </w:tc>
      </w:tr>
      <w:tr w:rsidR="00F316FA" w:rsidRPr="00034A34" w14:paraId="5D41582A" w14:textId="77777777" w:rsidTr="513B48BE">
        <w:tc>
          <w:tcPr>
            <w:tcW w:w="3325" w:type="dxa"/>
          </w:tcPr>
          <w:p w14:paraId="3E495F5C" w14:textId="0EAC0989"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krypčių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grupė</w:t>
            </w:r>
            <w:proofErr w:type="spellEnd"/>
          </w:p>
        </w:tc>
        <w:tc>
          <w:tcPr>
            <w:tcW w:w="6514" w:type="dxa"/>
          </w:tcPr>
          <w:p w14:paraId="1FDC309A" w14:textId="78F68710" w:rsidR="00F316FA" w:rsidRPr="00034A34" w:rsidRDefault="00C253CC" w:rsidP="00C253CC">
            <w:pPr>
              <w:rPr>
                <w:rFonts w:cstheme="minorHAnsi"/>
                <w:color w:val="000000" w:themeColor="text1"/>
                <w:lang w:val="en-GB"/>
              </w:rPr>
            </w:pPr>
            <w:r w:rsidRPr="00034A34">
              <w:rPr>
                <w:rFonts w:cstheme="minorHAnsi"/>
                <w:color w:val="000000" w:themeColor="text1"/>
                <w:lang w:val="en-GB"/>
              </w:rPr>
              <w:t>Health Sciences</w:t>
            </w:r>
          </w:p>
        </w:tc>
      </w:tr>
      <w:tr w:rsidR="00F316FA" w:rsidRPr="00034A34" w14:paraId="13EEA620" w14:textId="77777777" w:rsidTr="513B48BE">
        <w:tc>
          <w:tcPr>
            <w:tcW w:w="3325" w:type="dxa"/>
          </w:tcPr>
          <w:p w14:paraId="67BA8EE3" w14:textId="24A856CB"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kryptis</w:t>
            </w:r>
            <w:proofErr w:type="spellEnd"/>
          </w:p>
        </w:tc>
        <w:tc>
          <w:tcPr>
            <w:tcW w:w="6514" w:type="dxa"/>
          </w:tcPr>
          <w:p w14:paraId="7B089951" w14:textId="69166576" w:rsidR="00F316FA" w:rsidRPr="00034A34" w:rsidRDefault="00C253CC" w:rsidP="00C253CC">
            <w:pPr>
              <w:rPr>
                <w:rFonts w:cstheme="minorHAnsi"/>
                <w:color w:val="000000" w:themeColor="text1"/>
                <w:lang w:val="en-GB"/>
              </w:rPr>
            </w:pPr>
            <w:r w:rsidRPr="00034A34">
              <w:rPr>
                <w:rFonts w:cstheme="minorHAnsi"/>
                <w:color w:val="000000" w:themeColor="text1"/>
                <w:lang w:val="en-GB"/>
              </w:rPr>
              <w:t>Rehabilitation</w:t>
            </w:r>
          </w:p>
        </w:tc>
      </w:tr>
      <w:tr w:rsidR="00F316FA" w:rsidRPr="00034A34" w14:paraId="09F20500" w14:textId="77777777" w:rsidTr="513B48BE">
        <w:tc>
          <w:tcPr>
            <w:tcW w:w="3325" w:type="dxa"/>
          </w:tcPr>
          <w:p w14:paraId="39C1354A" w14:textId="1B3F5728"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trukmė</w:t>
            </w:r>
            <w:proofErr w:type="spellEnd"/>
          </w:p>
        </w:tc>
        <w:tc>
          <w:tcPr>
            <w:tcW w:w="6514" w:type="dxa"/>
          </w:tcPr>
          <w:p w14:paraId="44263CA9" w14:textId="67FF5399" w:rsidR="00F316FA" w:rsidRPr="00034A34" w:rsidRDefault="00C253CC" w:rsidP="00C253CC">
            <w:pPr>
              <w:rPr>
                <w:rFonts w:cstheme="minorHAnsi"/>
                <w:color w:val="000000" w:themeColor="text1"/>
                <w:lang w:val="en-GB"/>
              </w:rPr>
            </w:pPr>
            <w:r w:rsidRPr="00034A34">
              <w:rPr>
                <w:rFonts w:cstheme="minorHAnsi"/>
                <w:color w:val="000000" w:themeColor="text1"/>
                <w:lang w:val="en-GB"/>
              </w:rPr>
              <w:t>4 years</w:t>
            </w:r>
          </w:p>
        </w:tc>
      </w:tr>
      <w:tr w:rsidR="00F316FA" w:rsidRPr="00034A34" w14:paraId="104C019E" w14:textId="77777777" w:rsidTr="513B48BE">
        <w:tc>
          <w:tcPr>
            <w:tcW w:w="3325" w:type="dxa"/>
          </w:tcPr>
          <w:p w14:paraId="0AC579D2" w14:textId="49370C04"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Programos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apimtis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kreditais</w:t>
            </w:r>
            <w:proofErr w:type="spellEnd"/>
          </w:p>
        </w:tc>
        <w:tc>
          <w:tcPr>
            <w:tcW w:w="6514" w:type="dxa"/>
          </w:tcPr>
          <w:p w14:paraId="54DF299B" w14:textId="5FD4E3D2" w:rsidR="00F316FA" w:rsidRPr="00034A34" w:rsidRDefault="00C253CC" w:rsidP="00C253CC">
            <w:pPr>
              <w:rPr>
                <w:rFonts w:cstheme="minorHAnsi"/>
                <w:color w:val="000000" w:themeColor="text1"/>
                <w:lang w:val="en-GB"/>
              </w:rPr>
            </w:pPr>
            <w:r w:rsidRPr="00034A34">
              <w:rPr>
                <w:rFonts w:cstheme="minorHAnsi"/>
                <w:color w:val="000000" w:themeColor="text1"/>
                <w:lang w:val="en-GB"/>
              </w:rPr>
              <w:t>240 ECTS</w:t>
            </w:r>
          </w:p>
        </w:tc>
      </w:tr>
      <w:tr w:rsidR="00F316FA" w:rsidRPr="00034A34" w14:paraId="3458116B" w14:textId="77777777" w:rsidTr="513B48BE">
        <w:tc>
          <w:tcPr>
            <w:tcW w:w="3325" w:type="dxa"/>
          </w:tcPr>
          <w:p w14:paraId="06DAF75C" w14:textId="0534DE7D"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Suteikiamas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kvalifikacinis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laipsnis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profesinė</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kvalifikacija</w:t>
            </w:r>
            <w:proofErr w:type="spellEnd"/>
          </w:p>
        </w:tc>
        <w:tc>
          <w:tcPr>
            <w:tcW w:w="6514" w:type="dxa"/>
          </w:tcPr>
          <w:p w14:paraId="19503042" w14:textId="5EF6BEA1" w:rsidR="00F316FA" w:rsidRPr="00034A34" w:rsidRDefault="00C253CC" w:rsidP="002F3E93">
            <w:pPr>
              <w:rPr>
                <w:rFonts w:cstheme="minorHAnsi"/>
                <w:color w:val="000000" w:themeColor="text1"/>
                <w:lang w:val="en-GB"/>
              </w:rPr>
            </w:pPr>
            <w:r w:rsidRPr="00034A34">
              <w:rPr>
                <w:rFonts w:cstheme="minorHAnsi"/>
                <w:color w:val="000000" w:themeColor="text1"/>
                <w:lang w:val="en-GB"/>
              </w:rPr>
              <w:t>Bachelor's Degree in Health Sciences and a professional qualification of a physiotherapist</w:t>
            </w:r>
          </w:p>
        </w:tc>
      </w:tr>
      <w:tr w:rsidR="00F316FA" w:rsidRPr="00034A34" w14:paraId="4141F47A" w14:textId="77777777" w:rsidTr="513B48BE">
        <w:tc>
          <w:tcPr>
            <w:tcW w:w="3325" w:type="dxa"/>
          </w:tcPr>
          <w:p w14:paraId="0A940E6A" w14:textId="584803CD" w:rsidR="00F316FA" w:rsidRPr="00034A34" w:rsidRDefault="00F316FA" w:rsidP="00C253CC">
            <w:pPr>
              <w:rPr>
                <w:rFonts w:ascii="Open Sans" w:hAnsi="Open Sans" w:cs="Open Sans"/>
                <w:lang w:val="en-GB"/>
              </w:rPr>
            </w:pPr>
            <w:proofErr w:type="spellStart"/>
            <w:r w:rsidRPr="00034A34">
              <w:rPr>
                <w:rFonts w:ascii="Open Sans" w:hAnsi="Open Sans" w:cs="Open Sans"/>
                <w:lang w:val="en-GB"/>
              </w:rPr>
              <w:t>Pakopa</w:t>
            </w:r>
            <w:proofErr w:type="spellEnd"/>
          </w:p>
        </w:tc>
        <w:tc>
          <w:tcPr>
            <w:tcW w:w="6514" w:type="dxa"/>
          </w:tcPr>
          <w:p w14:paraId="6CF9ABD5" w14:textId="60F2F189" w:rsidR="00F316FA" w:rsidRPr="00034A34" w:rsidRDefault="00C253CC" w:rsidP="002F3E93">
            <w:pPr>
              <w:rPr>
                <w:rFonts w:cstheme="minorHAnsi"/>
                <w:color w:val="000000" w:themeColor="text1"/>
                <w:lang w:val="en-GB"/>
              </w:rPr>
            </w:pPr>
            <w:r w:rsidRPr="00034A34">
              <w:rPr>
                <w:rFonts w:cstheme="minorHAnsi"/>
                <w:color w:val="000000" w:themeColor="text1"/>
                <w:lang w:val="en-GB"/>
              </w:rPr>
              <w:t>First-cycle studies</w:t>
            </w:r>
          </w:p>
        </w:tc>
      </w:tr>
      <w:tr w:rsidR="00034A34" w:rsidRPr="00034A34" w14:paraId="6B48B77C" w14:textId="77777777" w:rsidTr="513B48BE">
        <w:tc>
          <w:tcPr>
            <w:tcW w:w="3325" w:type="dxa"/>
          </w:tcPr>
          <w:p w14:paraId="0F85D71F" w14:textId="5DC6B79F"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programos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tikslas</w:t>
            </w:r>
            <w:proofErr w:type="spellEnd"/>
          </w:p>
        </w:tc>
        <w:tc>
          <w:tcPr>
            <w:tcW w:w="6514" w:type="dxa"/>
          </w:tcPr>
          <w:p w14:paraId="795605B9" w14:textId="77777777" w:rsidR="00034A34" w:rsidRPr="00034A34" w:rsidRDefault="00034A34" w:rsidP="00034A34">
            <w:pPr>
              <w:rPr>
                <w:rFonts w:cstheme="minorHAnsi"/>
                <w:color w:val="000000" w:themeColor="text1"/>
                <w:lang w:val="en-US"/>
              </w:rPr>
            </w:pPr>
            <w:r w:rsidRPr="00034A34">
              <w:rPr>
                <w:rFonts w:cstheme="minorHAnsi"/>
                <w:color w:val="000000" w:themeColor="text1"/>
                <w:lang w:val="en-US"/>
              </w:rPr>
              <w:t>1) To educate and train qualified healthcare specialists – physiotherapists who meet the requirements recognized by the European Union. 2) To train highly qualified physiotherapists who are able to apply modern scientific knowledge and perform critical analysis, applying this knowledge for prevention and treatment in all healthcare, educational, and health promotion institutions. 3) To contribute to the acquisition of theoretical knowledge and the development of personal and social skills necessary for the professional activities of a physiotherapist in connection with treatment, personal health education, healthcare, and health promotion. 4) To develop the practical skills necessary to develop, maintain, or restore mobility or other optimal functions related to age, trauma, illness, or environmental factors. 5) To train the competencies required for work in healthcare, educational, and health promotion institutions. 6) To develop a personality capable of understanding and accepting changes in society and of functioning in a democratic environment. 7) To develop the need to be interested in innovations in science and practice related to a healthy lifestyle and corresponding to the competencies of a physiotherapist. 8) To develop creative, scientific, and critical thinking, and a sense of satisfaction in studying and working. 9) To develop the ability to maintain the required professional competence through lifelong learning. 10) To create opportunities to acquire the professional qualification of a physiotherapist enabling the provision of services in licensed healthcare, educational, and health promotion institutions.</w:t>
            </w:r>
          </w:p>
          <w:p w14:paraId="1C9A6CB2" w14:textId="77777777" w:rsidR="00034A34" w:rsidRPr="00034A34" w:rsidRDefault="00034A34" w:rsidP="00034A34">
            <w:pPr>
              <w:rPr>
                <w:rFonts w:cstheme="minorHAnsi"/>
                <w:color w:val="000000" w:themeColor="text1"/>
                <w:lang w:val="en-GB"/>
              </w:rPr>
            </w:pPr>
          </w:p>
        </w:tc>
      </w:tr>
      <w:tr w:rsidR="00034A34" w:rsidRPr="00034A34" w14:paraId="4587BFAA" w14:textId="77777777" w:rsidTr="513B48BE">
        <w:tc>
          <w:tcPr>
            <w:tcW w:w="3325" w:type="dxa"/>
          </w:tcPr>
          <w:p w14:paraId="1A5EB34F" w14:textId="5331174B"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Numatomi</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programos</w:t>
            </w:r>
            <w:proofErr w:type="spellEnd"/>
            <w:r w:rsidRPr="00034A34">
              <w:rPr>
                <w:rFonts w:ascii="Open Sans" w:hAnsi="Open Sans" w:cs="Open Sans"/>
                <w:lang w:val="en-GB"/>
              </w:rPr>
              <w:t xml:space="preserve"> </w:t>
            </w:r>
            <w:hyperlink r:id="rId7" w:history="1">
              <w:proofErr w:type="spellStart"/>
              <w:r w:rsidRPr="007C3A84">
                <w:rPr>
                  <w:rStyle w:val="Hyperlink"/>
                  <w:rFonts w:ascii="Open Sans" w:hAnsi="Open Sans" w:cs="Open Sans"/>
                  <w:lang w:val="en-GB"/>
                </w:rPr>
                <w:t>rezultatai</w:t>
              </w:r>
              <w:proofErr w:type="spellEnd"/>
            </w:hyperlink>
          </w:p>
        </w:tc>
        <w:tc>
          <w:tcPr>
            <w:tcW w:w="6514" w:type="dxa"/>
          </w:tcPr>
          <w:p w14:paraId="3E11A22F" w14:textId="46862BDA" w:rsidR="00034A34" w:rsidRPr="00034A34" w:rsidRDefault="00034A34" w:rsidP="00034A34">
            <w:pPr>
              <w:rPr>
                <w:rFonts w:cstheme="minorHAnsi"/>
                <w:color w:val="000000" w:themeColor="text1"/>
                <w:lang w:val="en-US"/>
              </w:rPr>
            </w:pPr>
            <w:proofErr w:type="spellStart"/>
            <w:r w:rsidRPr="00CD2ABF">
              <w:rPr>
                <w:rFonts w:asciiTheme="majorHAnsi" w:hAnsiTheme="majorHAnsi" w:cstheme="majorHAnsi"/>
                <w:color w:val="000000" w:themeColor="text1"/>
                <w:sz w:val="24"/>
                <w:szCs w:val="24"/>
              </w:rPr>
              <w:t>Formed</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table</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Competences</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study</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goals</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and</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results</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developed</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in</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the</w:t>
            </w:r>
            <w:proofErr w:type="spellEnd"/>
            <w:r w:rsidRPr="00CD2ABF">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Physiotherapy</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study</w:t>
            </w:r>
            <w:proofErr w:type="spellEnd"/>
            <w:r w:rsidRPr="00CD2ABF">
              <w:rPr>
                <w:rFonts w:asciiTheme="majorHAnsi" w:hAnsiTheme="majorHAnsi" w:cstheme="majorHAnsi"/>
                <w:color w:val="000000" w:themeColor="text1"/>
                <w:sz w:val="24"/>
                <w:szCs w:val="24"/>
              </w:rPr>
              <w:t xml:space="preserve"> </w:t>
            </w:r>
            <w:proofErr w:type="spellStart"/>
            <w:r w:rsidRPr="00CD2ABF">
              <w:rPr>
                <w:rFonts w:asciiTheme="majorHAnsi" w:hAnsiTheme="majorHAnsi" w:cstheme="majorHAnsi"/>
                <w:color w:val="000000" w:themeColor="text1"/>
                <w:sz w:val="24"/>
                <w:szCs w:val="24"/>
              </w:rPr>
              <w:t>program</w:t>
            </w:r>
            <w:proofErr w:type="spellEnd"/>
            <w:r w:rsidRPr="00CD2ABF">
              <w:rPr>
                <w:rFonts w:asciiTheme="majorHAnsi" w:hAnsiTheme="majorHAnsi" w:cstheme="majorHAnsi"/>
                <w:color w:val="000000" w:themeColor="text1"/>
                <w:sz w:val="24"/>
                <w:szCs w:val="24"/>
              </w:rPr>
              <w:t xml:space="preserve">. </w:t>
            </w:r>
          </w:p>
        </w:tc>
      </w:tr>
      <w:tr w:rsidR="00034A34" w:rsidRPr="00034A34" w14:paraId="32D3E833" w14:textId="77777777" w:rsidTr="513B48BE">
        <w:tc>
          <w:tcPr>
            <w:tcW w:w="3325" w:type="dxa"/>
          </w:tcPr>
          <w:p w14:paraId="03D0A764"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programos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ypatumai</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anotacija</w:t>
            </w:r>
            <w:proofErr w:type="spellEnd"/>
            <w:r w:rsidRPr="00034A34">
              <w:rPr>
                <w:rFonts w:ascii="Open Sans" w:hAnsi="Open Sans" w:cs="Open Sans"/>
                <w:lang w:val="en-GB"/>
              </w:rPr>
              <w:t>)</w:t>
            </w:r>
          </w:p>
        </w:tc>
        <w:tc>
          <w:tcPr>
            <w:tcW w:w="6514" w:type="dxa"/>
          </w:tcPr>
          <w:p w14:paraId="76B25781" w14:textId="40140F8B"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Studies in Physiotherapy aim to promote the development of a harmonious personality, including education and training of rehabilitation professionals capable of providing high-quality services to maximize patients' functions. These studies are based not only on the integration of science, practice, and training, but also on academic and creative self-expression. The Physiotherapy study program prepares university-educated physiotherapists, who are capable of using the most recent scientific knowledge, critically analysing it, and </w:t>
            </w:r>
            <w:r w:rsidRPr="00034A34">
              <w:rPr>
                <w:rFonts w:cstheme="minorHAnsi"/>
                <w:color w:val="000000" w:themeColor="text1"/>
                <w:lang w:val="en-GB"/>
              </w:rPr>
              <w:lastRenderedPageBreak/>
              <w:t xml:space="preserve">implementing it independently for preventive, treatment, and rehabilitation purposes in healthcare, education, and health promotion institutions, in addition to continuously improving their skills.  </w:t>
            </w:r>
          </w:p>
        </w:tc>
      </w:tr>
      <w:tr w:rsidR="00034A34" w:rsidRPr="00034A34" w14:paraId="56326E50" w14:textId="77777777" w:rsidTr="513B48BE">
        <w:tc>
          <w:tcPr>
            <w:tcW w:w="3325" w:type="dxa"/>
          </w:tcPr>
          <w:p w14:paraId="067FBB95"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lastRenderedPageBreak/>
              <w:t>Priėmimo</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reikalavimai</w:t>
            </w:r>
            <w:proofErr w:type="spellEnd"/>
          </w:p>
          <w:p w14:paraId="6D4BE871" w14:textId="77777777" w:rsidR="00034A34" w:rsidRPr="00034A34" w:rsidRDefault="00034A34" w:rsidP="00034A34">
            <w:pPr>
              <w:rPr>
                <w:rFonts w:ascii="Open Sans" w:hAnsi="Open Sans" w:cs="Open Sans"/>
                <w:lang w:val="en-GB"/>
              </w:rPr>
            </w:pPr>
          </w:p>
        </w:tc>
        <w:tc>
          <w:tcPr>
            <w:tcW w:w="6514" w:type="dxa"/>
          </w:tcPr>
          <w:p w14:paraId="1421226D" w14:textId="7B495F32" w:rsidR="00034A34" w:rsidRPr="00034A34" w:rsidRDefault="00034A34" w:rsidP="00034A34">
            <w:pPr>
              <w:rPr>
                <w:rFonts w:cstheme="minorHAnsi"/>
                <w:color w:val="000000" w:themeColor="text1"/>
                <w:lang w:val="en-GB"/>
              </w:rPr>
            </w:pPr>
            <w:r w:rsidRPr="00034A34">
              <w:rPr>
                <w:rFonts w:cstheme="minorHAnsi"/>
                <w:color w:val="000000" w:themeColor="text1"/>
                <w:lang w:val="en-GB"/>
              </w:rPr>
              <w:t>The admission is open to all entrants with a documented education of at least secondary education or equivalent.</w:t>
            </w:r>
          </w:p>
        </w:tc>
      </w:tr>
      <w:tr w:rsidR="00034A34" w:rsidRPr="00034A34" w14:paraId="2C5CC10D" w14:textId="77777777" w:rsidTr="513B48BE">
        <w:tc>
          <w:tcPr>
            <w:tcW w:w="3325" w:type="dxa"/>
          </w:tcPr>
          <w:p w14:paraId="4098D590"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Profesinės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karjeros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galimybės</w:t>
            </w:r>
            <w:proofErr w:type="spellEnd"/>
          </w:p>
          <w:p w14:paraId="4245BC45" w14:textId="77777777" w:rsidR="00034A34" w:rsidRPr="00034A34" w:rsidRDefault="00034A34" w:rsidP="00034A34">
            <w:pPr>
              <w:rPr>
                <w:rFonts w:ascii="Open Sans" w:hAnsi="Open Sans" w:cs="Open Sans"/>
                <w:lang w:val="en-GB"/>
              </w:rPr>
            </w:pPr>
          </w:p>
        </w:tc>
        <w:tc>
          <w:tcPr>
            <w:tcW w:w="6514" w:type="dxa"/>
          </w:tcPr>
          <w:p w14:paraId="08547D6F" w14:textId="27139E30"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After the completion of their studies, graduates are prepared for the professional activities of a physiotherapist. A physiotherapist is engaged in respective practices in establishments holding a valid personal healthcare license to provide physiotherapy therapy services and/or other personal healthcare services which, according to </w:t>
            </w:r>
            <w:hyperlink r:id="rId8" w:history="1">
              <w:r w:rsidRPr="00034A34">
                <w:rPr>
                  <w:rFonts w:cstheme="minorHAnsi"/>
                  <w:color w:val="000000" w:themeColor="text1"/>
                  <w:lang w:val="en-GB"/>
                </w:rPr>
                <w:t>law</w:t>
              </w:r>
            </w:hyperlink>
            <w:r w:rsidRPr="00034A34">
              <w:rPr>
                <w:rFonts w:cstheme="minorHAnsi"/>
                <w:color w:val="000000" w:themeColor="text1"/>
                <w:lang w:val="en-GB"/>
              </w:rPr>
              <w:t>, can be provided by a physiotherapist together with other health care professionals, or a private licensed practice of a physiotherapist. A physiotherapist provides physiotherapy or occupational therapy services to patients of all ages at these institutions. In addition, the graduates are able to work in institutions conducting research activities.</w:t>
            </w:r>
          </w:p>
        </w:tc>
      </w:tr>
      <w:tr w:rsidR="00034A34" w:rsidRPr="00034A34" w14:paraId="67CCAC13" w14:textId="77777777" w:rsidTr="513B48BE">
        <w:tc>
          <w:tcPr>
            <w:tcW w:w="3325" w:type="dxa"/>
          </w:tcPr>
          <w:p w14:paraId="7D66CC43"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Studentų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mainų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galimybės</w:t>
            </w:r>
            <w:proofErr w:type="spellEnd"/>
          </w:p>
          <w:p w14:paraId="6BB71D8C" w14:textId="77777777" w:rsidR="00034A34" w:rsidRPr="00034A34" w:rsidRDefault="00034A34" w:rsidP="00034A34">
            <w:pPr>
              <w:rPr>
                <w:rFonts w:ascii="Open Sans" w:hAnsi="Open Sans" w:cs="Open Sans"/>
                <w:lang w:val="en-GB"/>
              </w:rPr>
            </w:pPr>
          </w:p>
        </w:tc>
        <w:tc>
          <w:tcPr>
            <w:tcW w:w="6514" w:type="dxa"/>
          </w:tcPr>
          <w:p w14:paraId="6AF583C2" w14:textId="3045DAF3"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Students are provided with the opportunity to spend an integrated study period in a higher education institution of another country, using the </w:t>
            </w:r>
            <w:hyperlink r:id="rId9" w:history="1">
              <w:r w:rsidRPr="007C3A84">
                <w:rPr>
                  <w:rStyle w:val="Hyperlink"/>
                  <w:rFonts w:cstheme="minorHAnsi"/>
                  <w:lang w:val="en-GB"/>
                </w:rPr>
                <w:t>Erasmus+</w:t>
              </w:r>
            </w:hyperlink>
            <w:r w:rsidRPr="00034A34">
              <w:rPr>
                <w:rFonts w:cstheme="minorHAnsi"/>
                <w:color w:val="000000" w:themeColor="text1"/>
                <w:lang w:val="en-GB"/>
              </w:rPr>
              <w:t xml:space="preserve"> study exchange program, which supports academic student exchange for traineeships and studies</w:t>
            </w:r>
            <w:r>
              <w:rPr>
                <w:rFonts w:cstheme="minorHAnsi"/>
                <w:color w:val="000000" w:themeColor="text1"/>
                <w:lang w:val="en-GB"/>
              </w:rPr>
              <w:t xml:space="preserve">. </w:t>
            </w:r>
          </w:p>
        </w:tc>
      </w:tr>
      <w:tr w:rsidR="00034A34" w:rsidRPr="00034A34" w14:paraId="6AD713C3" w14:textId="77777777" w:rsidTr="513B48BE">
        <w:tc>
          <w:tcPr>
            <w:tcW w:w="3325" w:type="dxa"/>
          </w:tcPr>
          <w:p w14:paraId="31F245D2" w14:textId="4A6364A0"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Tolesnių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galimybės</w:t>
            </w:r>
            <w:proofErr w:type="spellEnd"/>
          </w:p>
          <w:p w14:paraId="366D58DD" w14:textId="77777777" w:rsidR="00034A34" w:rsidRPr="00034A34" w:rsidRDefault="00034A34" w:rsidP="00034A34">
            <w:pPr>
              <w:rPr>
                <w:rFonts w:ascii="Open Sans" w:hAnsi="Open Sans" w:cs="Open Sans"/>
                <w:lang w:val="en-GB"/>
              </w:rPr>
            </w:pPr>
          </w:p>
        </w:tc>
        <w:tc>
          <w:tcPr>
            <w:tcW w:w="6514" w:type="dxa"/>
          </w:tcPr>
          <w:p w14:paraId="1BF6EC61" w14:textId="60C25FB4" w:rsidR="00034A34" w:rsidRPr="00034A34" w:rsidRDefault="00034A34" w:rsidP="00034A34">
            <w:pPr>
              <w:rPr>
                <w:rFonts w:cstheme="minorHAnsi"/>
                <w:color w:val="000000" w:themeColor="text1"/>
                <w:lang w:val="en-GB"/>
              </w:rPr>
            </w:pPr>
            <w:r w:rsidRPr="00034A34">
              <w:rPr>
                <w:lang w:val="en-GB"/>
              </w:rPr>
              <w:t>Graduates of the first-cycle</w:t>
            </w:r>
            <w:r w:rsidRPr="00034A34">
              <w:rPr>
                <w:rFonts w:cstheme="minorHAnsi"/>
                <w:color w:val="000000" w:themeColor="text1"/>
                <w:lang w:val="en-GB"/>
              </w:rPr>
              <w:t xml:space="preserve"> </w:t>
            </w:r>
            <w:r w:rsidRPr="00034A34">
              <w:rPr>
                <w:lang w:val="en-GB"/>
              </w:rPr>
              <w:t>studies of the Physiotherapy program can continue their studies in second-cycle studies. The LSMU Faculty of Nursing offers a second-cycle program in "Health Promotion and Rehabilitation". After that, doctoral studies are available.</w:t>
            </w:r>
          </w:p>
        </w:tc>
      </w:tr>
      <w:tr w:rsidR="00034A34" w:rsidRPr="00034A34" w14:paraId="395D1B33" w14:textId="77777777" w:rsidTr="513B48BE">
        <w:tc>
          <w:tcPr>
            <w:tcW w:w="3325" w:type="dxa"/>
          </w:tcPr>
          <w:p w14:paraId="581E0777"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rezultatų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vertinimas</w:t>
            </w:r>
            <w:proofErr w:type="spellEnd"/>
          </w:p>
          <w:p w14:paraId="1311422A" w14:textId="77777777" w:rsidR="00034A34" w:rsidRPr="00034A34" w:rsidRDefault="00034A34" w:rsidP="00034A34">
            <w:pPr>
              <w:rPr>
                <w:rFonts w:ascii="Open Sans" w:hAnsi="Open Sans" w:cs="Open Sans"/>
                <w:lang w:val="en-GB"/>
              </w:rPr>
            </w:pPr>
          </w:p>
        </w:tc>
        <w:tc>
          <w:tcPr>
            <w:tcW w:w="6514" w:type="dxa"/>
          </w:tcPr>
          <w:p w14:paraId="1824083F" w14:textId="78FF0A24" w:rsidR="00034A34" w:rsidRPr="00034A34" w:rsidRDefault="00034A34" w:rsidP="00034A34">
            <w:pPr>
              <w:rPr>
                <w:rFonts w:cstheme="minorHAnsi"/>
                <w:color w:val="000000" w:themeColor="text1"/>
                <w:lang w:val="en-GB"/>
              </w:rPr>
            </w:pPr>
            <w:r w:rsidRPr="00034A34">
              <w:rPr>
                <w:rFonts w:cstheme="minorHAnsi"/>
                <w:color w:val="000000" w:themeColor="text1"/>
                <w:lang w:val="en-GB"/>
              </w:rPr>
              <w:t>The results of all study subjects are evaluated with a mark obtained after passing an examination or defending a student’s independent work (project). Study results can be evaluated applying diagnostic, formative, or cumulative assessment methods. The studies of the Physiotherapy program are completed by the practical clinical examination and the Objective Structured Clinical Examination (OSCE), and by writing and defending the final Bachelor’s thesis.</w:t>
            </w:r>
          </w:p>
        </w:tc>
      </w:tr>
      <w:tr w:rsidR="00034A34" w:rsidRPr="00034A34" w14:paraId="77CB64AF" w14:textId="77777777" w:rsidTr="513B48BE">
        <w:tc>
          <w:tcPr>
            <w:tcW w:w="3325" w:type="dxa"/>
          </w:tcPr>
          <w:p w14:paraId="43E943DA" w14:textId="77777777" w:rsidR="00034A34" w:rsidRPr="00034A34" w:rsidRDefault="00034A34" w:rsidP="00034A34">
            <w:pPr>
              <w:rPr>
                <w:rFonts w:ascii="Open Sans" w:hAnsi="Open Sans" w:cs="Open Sans"/>
                <w:lang w:val="en-GB"/>
              </w:rPr>
            </w:pPr>
            <w:proofErr w:type="spellStart"/>
            <w:r w:rsidRPr="00034A34">
              <w:rPr>
                <w:rFonts w:ascii="Open Sans" w:hAnsi="Open Sans" w:cs="Open Sans"/>
                <w:lang w:val="en-GB"/>
              </w:rPr>
              <w:t>Studijų</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programos</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komiteto</w:t>
            </w:r>
            <w:proofErr w:type="spellEnd"/>
            <w:r w:rsidRPr="00034A34">
              <w:rPr>
                <w:rFonts w:ascii="Open Sans" w:hAnsi="Open Sans" w:cs="Open Sans"/>
                <w:lang w:val="en-GB"/>
              </w:rPr>
              <w:t xml:space="preserve"> </w:t>
            </w:r>
            <w:proofErr w:type="spellStart"/>
            <w:r w:rsidRPr="00034A34">
              <w:rPr>
                <w:rFonts w:ascii="Open Sans" w:hAnsi="Open Sans" w:cs="Open Sans"/>
                <w:lang w:val="en-GB"/>
              </w:rPr>
              <w:t>pirmininkas</w:t>
            </w:r>
            <w:proofErr w:type="spellEnd"/>
            <w:r w:rsidRPr="00034A34">
              <w:rPr>
                <w:rFonts w:ascii="Open Sans" w:hAnsi="Open Sans" w:cs="Open Sans"/>
                <w:lang w:val="en-GB"/>
              </w:rPr>
              <w:t xml:space="preserve"> ir </w:t>
            </w:r>
            <w:proofErr w:type="spellStart"/>
            <w:r w:rsidRPr="00034A34">
              <w:rPr>
                <w:rFonts w:ascii="Open Sans" w:hAnsi="Open Sans" w:cs="Open Sans"/>
                <w:lang w:val="en-GB"/>
              </w:rPr>
              <w:t>nariai</w:t>
            </w:r>
            <w:proofErr w:type="spellEnd"/>
          </w:p>
          <w:p w14:paraId="66DCD13E" w14:textId="77777777" w:rsidR="00034A34" w:rsidRPr="00034A34" w:rsidRDefault="00034A34" w:rsidP="00034A34">
            <w:pPr>
              <w:rPr>
                <w:rFonts w:ascii="Open Sans" w:hAnsi="Open Sans" w:cs="Open Sans"/>
                <w:lang w:val="en-GB"/>
              </w:rPr>
            </w:pPr>
          </w:p>
        </w:tc>
        <w:tc>
          <w:tcPr>
            <w:tcW w:w="6514" w:type="dxa"/>
          </w:tcPr>
          <w:p w14:paraId="7E6B5E10" w14:textId="656FBF96" w:rsidR="00034A34" w:rsidRPr="00034A34" w:rsidRDefault="00034A34" w:rsidP="00034A34">
            <w:pPr>
              <w:rPr>
                <w:rFonts w:cstheme="minorHAnsi"/>
                <w:color w:val="000000" w:themeColor="text1"/>
                <w:lang w:val="en-GB"/>
              </w:rPr>
            </w:pPr>
            <w:r w:rsidRPr="00034A34">
              <w:rPr>
                <w:rFonts w:cstheme="minorHAnsi"/>
                <w:color w:val="000000" w:themeColor="text1"/>
                <w:lang w:val="en-GB"/>
              </w:rPr>
              <w:t>Chair: Assoc. prof. Agnė Slapšinskaitė-Dackevičienė, Department of Sports Medicine</w:t>
            </w:r>
          </w:p>
          <w:p w14:paraId="780499CC"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Members:</w:t>
            </w:r>
          </w:p>
          <w:p w14:paraId="638D2F67"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Prof. Kristina </w:t>
            </w:r>
            <w:proofErr w:type="spellStart"/>
            <w:r w:rsidRPr="00034A34">
              <w:rPr>
                <w:rFonts w:cstheme="minorHAnsi"/>
                <w:color w:val="000000" w:themeColor="text1"/>
                <w:lang w:val="en-GB"/>
              </w:rPr>
              <w:t>Berškienė</w:t>
            </w:r>
            <w:proofErr w:type="spellEnd"/>
            <w:r w:rsidRPr="00034A34">
              <w:rPr>
                <w:rFonts w:cstheme="minorHAnsi"/>
                <w:color w:val="000000" w:themeColor="text1"/>
                <w:lang w:val="en-GB"/>
              </w:rPr>
              <w:t>, Department of Sports Medicine</w:t>
            </w:r>
          </w:p>
          <w:p w14:paraId="3A606BD8" w14:textId="17F06964"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Assoc. prof. Vilma </w:t>
            </w:r>
            <w:proofErr w:type="spellStart"/>
            <w:r w:rsidRPr="00034A34">
              <w:rPr>
                <w:rFonts w:cstheme="minorHAnsi"/>
                <w:color w:val="000000" w:themeColor="text1"/>
                <w:lang w:val="en-GB"/>
              </w:rPr>
              <w:t>Tamulionytė</w:t>
            </w:r>
            <w:proofErr w:type="spellEnd"/>
            <w:r w:rsidRPr="00034A34">
              <w:rPr>
                <w:rFonts w:cstheme="minorHAnsi"/>
                <w:color w:val="000000" w:themeColor="text1"/>
                <w:lang w:val="en-GB"/>
              </w:rPr>
              <w:t>, Department of Sports Medicine</w:t>
            </w:r>
          </w:p>
          <w:p w14:paraId="201606C0" w14:textId="5B320A63"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Prof. Eglė </w:t>
            </w:r>
            <w:proofErr w:type="spellStart"/>
            <w:r w:rsidRPr="00034A34">
              <w:rPr>
                <w:rFonts w:cstheme="minorHAnsi"/>
                <w:color w:val="000000" w:themeColor="text1"/>
                <w:lang w:val="en-GB"/>
              </w:rPr>
              <w:t>Lendraitienė</w:t>
            </w:r>
            <w:proofErr w:type="spellEnd"/>
            <w:r w:rsidRPr="00034A34">
              <w:rPr>
                <w:rFonts w:cstheme="minorHAnsi"/>
                <w:color w:val="000000" w:themeColor="text1"/>
                <w:lang w:val="en-GB"/>
              </w:rPr>
              <w:t>, Department of Rehabilitation</w:t>
            </w:r>
          </w:p>
          <w:p w14:paraId="080DBFF5"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PhD Rasa </w:t>
            </w:r>
            <w:proofErr w:type="spellStart"/>
            <w:r w:rsidRPr="00034A34">
              <w:rPr>
                <w:rFonts w:cstheme="minorHAnsi"/>
                <w:color w:val="000000" w:themeColor="text1"/>
                <w:lang w:val="en-GB"/>
              </w:rPr>
              <w:t>Šakalienė</w:t>
            </w:r>
            <w:proofErr w:type="spellEnd"/>
            <w:r w:rsidRPr="00034A34">
              <w:rPr>
                <w:rFonts w:cstheme="minorHAnsi"/>
                <w:color w:val="000000" w:themeColor="text1"/>
                <w:lang w:val="en-GB"/>
              </w:rPr>
              <w:t>, Department of Rehabilitation</w:t>
            </w:r>
          </w:p>
          <w:p w14:paraId="1289C311"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Assist. Laura </w:t>
            </w:r>
            <w:proofErr w:type="spellStart"/>
            <w:r w:rsidRPr="00034A34">
              <w:rPr>
                <w:rFonts w:cstheme="minorHAnsi"/>
                <w:color w:val="000000" w:themeColor="text1"/>
                <w:lang w:val="en-GB"/>
              </w:rPr>
              <w:t>Rutkauskienė</w:t>
            </w:r>
            <w:proofErr w:type="spellEnd"/>
            <w:r w:rsidRPr="00034A34">
              <w:rPr>
                <w:rFonts w:cstheme="minorHAnsi"/>
                <w:color w:val="000000" w:themeColor="text1"/>
                <w:lang w:val="en-GB"/>
              </w:rPr>
              <w:t>, Department of Rehabilitation</w:t>
            </w:r>
          </w:p>
          <w:p w14:paraId="4A0D2B55"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 xml:space="preserve">Matas </w:t>
            </w:r>
            <w:proofErr w:type="spellStart"/>
            <w:r w:rsidRPr="00034A34">
              <w:rPr>
                <w:rFonts w:cstheme="minorHAnsi"/>
                <w:color w:val="000000" w:themeColor="text1"/>
                <w:lang w:val="en-GB"/>
              </w:rPr>
              <w:t>Šikšnius</w:t>
            </w:r>
            <w:proofErr w:type="spellEnd"/>
            <w:r w:rsidRPr="00034A34">
              <w:rPr>
                <w:rFonts w:cstheme="minorHAnsi"/>
                <w:color w:val="000000" w:themeColor="text1"/>
                <w:lang w:val="en-GB"/>
              </w:rPr>
              <w:t xml:space="preserve"> (physiotherapy student delegated by student association)</w:t>
            </w:r>
          </w:p>
          <w:p w14:paraId="764432A5" w14:textId="77777777" w:rsidR="00034A34" w:rsidRPr="00034A34" w:rsidRDefault="00034A34" w:rsidP="00034A34">
            <w:pPr>
              <w:rPr>
                <w:rFonts w:cstheme="minorHAnsi"/>
                <w:color w:val="000000" w:themeColor="text1"/>
                <w:lang w:val="en-GB"/>
              </w:rPr>
            </w:pPr>
            <w:r w:rsidRPr="00034A34">
              <w:rPr>
                <w:rFonts w:cstheme="minorHAnsi"/>
                <w:color w:val="000000" w:themeColor="text1"/>
                <w:lang w:val="en-GB"/>
              </w:rPr>
              <w:t>Rokas Navickas (social partner - General Director of SPA Vilnius)</w:t>
            </w:r>
          </w:p>
          <w:p w14:paraId="40542991" w14:textId="3157CAD2" w:rsidR="00034A34" w:rsidRPr="00034A34" w:rsidRDefault="00034A34" w:rsidP="00034A34">
            <w:pPr>
              <w:rPr>
                <w:rFonts w:cstheme="minorHAnsi"/>
                <w:color w:val="000000" w:themeColor="text1"/>
                <w:lang w:val="en-GB"/>
              </w:rPr>
            </w:pPr>
            <w:proofErr w:type="spellStart"/>
            <w:r w:rsidRPr="00034A34">
              <w:rPr>
                <w:rFonts w:cstheme="minorHAnsi"/>
                <w:color w:val="000000" w:themeColor="text1"/>
                <w:lang w:val="en-GB"/>
              </w:rPr>
              <w:t>Romantė</w:t>
            </w:r>
            <w:proofErr w:type="spellEnd"/>
            <w:r w:rsidRPr="00034A34">
              <w:rPr>
                <w:rFonts w:cstheme="minorHAnsi"/>
                <w:color w:val="000000" w:themeColor="text1"/>
                <w:lang w:val="en-GB"/>
              </w:rPr>
              <w:t xml:space="preserve"> </w:t>
            </w:r>
            <w:proofErr w:type="spellStart"/>
            <w:r w:rsidRPr="00034A34">
              <w:rPr>
                <w:rFonts w:cstheme="minorHAnsi"/>
                <w:color w:val="000000" w:themeColor="text1"/>
                <w:lang w:val="en-GB"/>
              </w:rPr>
              <w:t>Aleknavičienė</w:t>
            </w:r>
            <w:proofErr w:type="spellEnd"/>
            <w:r w:rsidRPr="00034A34">
              <w:rPr>
                <w:rFonts w:cstheme="minorHAnsi"/>
                <w:color w:val="000000" w:themeColor="text1"/>
                <w:lang w:val="en-GB"/>
              </w:rPr>
              <w:t xml:space="preserve"> (social partner - Director of </w:t>
            </w:r>
            <w:proofErr w:type="spellStart"/>
            <w:r w:rsidRPr="00034A34">
              <w:rPr>
                <w:rFonts w:cstheme="minorHAnsi"/>
                <w:color w:val="000000" w:themeColor="text1"/>
                <w:lang w:val="en-GB"/>
              </w:rPr>
              <w:t>Palanga</w:t>
            </w:r>
            <w:proofErr w:type="spellEnd"/>
            <w:r w:rsidRPr="00034A34">
              <w:rPr>
                <w:rFonts w:cstheme="minorHAnsi"/>
                <w:color w:val="000000" w:themeColor="text1"/>
                <w:lang w:val="en-GB"/>
              </w:rPr>
              <w:t xml:space="preserve"> Rehabilitation Hospital)</w:t>
            </w:r>
          </w:p>
        </w:tc>
      </w:tr>
    </w:tbl>
    <w:p w14:paraId="4E7D4B8F" w14:textId="77777777" w:rsidR="00933F14" w:rsidRPr="00034A34" w:rsidRDefault="00933F14">
      <w:pPr>
        <w:rPr>
          <w:lang w:val="en-GB"/>
        </w:rPr>
      </w:pPr>
    </w:p>
    <w:sectPr w:rsidR="00933F14" w:rsidRPr="00034A34" w:rsidSect="00DF2F0A">
      <w:headerReference w:type="default" r:id="rId10"/>
      <w:pgSz w:w="11906" w:h="16838"/>
      <w:pgMar w:top="864" w:right="922" w:bottom="1138" w:left="108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C67A" w14:textId="77777777" w:rsidR="005A0880" w:rsidRDefault="005A0880">
      <w:pPr>
        <w:spacing w:after="0" w:line="240" w:lineRule="auto"/>
      </w:pPr>
      <w:r>
        <w:separator/>
      </w:r>
    </w:p>
  </w:endnote>
  <w:endnote w:type="continuationSeparator" w:id="0">
    <w:p w14:paraId="1059B613" w14:textId="77777777" w:rsidR="005A0880" w:rsidRDefault="005A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BA"/>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84E4" w14:textId="77777777" w:rsidR="005A0880" w:rsidRDefault="005A0880">
      <w:pPr>
        <w:spacing w:after="0" w:line="240" w:lineRule="auto"/>
      </w:pPr>
      <w:r>
        <w:separator/>
      </w:r>
    </w:p>
  </w:footnote>
  <w:footnote w:type="continuationSeparator" w:id="0">
    <w:p w14:paraId="24EC1094" w14:textId="77777777" w:rsidR="005A0880" w:rsidRDefault="005A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B32" w14:textId="77777777" w:rsidR="00EE469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A"/>
    <w:rsid w:val="00034A34"/>
    <w:rsid w:val="005A0880"/>
    <w:rsid w:val="007C3A84"/>
    <w:rsid w:val="008A3A47"/>
    <w:rsid w:val="00933F14"/>
    <w:rsid w:val="00C253CC"/>
    <w:rsid w:val="00C918D1"/>
    <w:rsid w:val="00DA2378"/>
    <w:rsid w:val="00F316FA"/>
    <w:rsid w:val="513B48BE"/>
  </w:rsids>
  <m:mathPr>
    <m:mathFont m:val="Cambria Math"/>
    <m:brkBin m:val="before"/>
    <m:brkBinSub m:val="--"/>
    <m:smallFrac m:val="0"/>
    <m:dispDef/>
    <m:lMargin m:val="0"/>
    <m:rMargin m:val="0"/>
    <m:defJc m:val="centerGroup"/>
    <m:wrapIndent m:val="1440"/>
    <m:intLim m:val="subSup"/>
    <m:naryLim m:val="undOvr"/>
  </m:mathPr>
  <w:themeFontLang w:val="lt-L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E53E"/>
  <w15:chartTrackingRefBased/>
  <w15:docId w15:val="{B7B70DCD-F78E-4B85-8FF5-665113B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6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16FA"/>
  </w:style>
  <w:style w:type="character" w:customStyle="1" w:styleId="markedcontent">
    <w:name w:val="markedcontent"/>
    <w:basedOn w:val="DefaultParagraphFont"/>
    <w:rsid w:val="00C253CC"/>
  </w:style>
  <w:style w:type="paragraph" w:customStyle="1" w:styleId="paragraph">
    <w:name w:val="paragraph"/>
    <w:basedOn w:val="Normal"/>
    <w:uiPriority w:val="99"/>
    <w:qFormat/>
    <w:rsid w:val="00034A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034A34"/>
  </w:style>
  <w:style w:type="character" w:customStyle="1" w:styleId="eop">
    <w:name w:val="eop"/>
    <w:basedOn w:val="DefaultParagraphFont"/>
    <w:rsid w:val="00034A34"/>
  </w:style>
  <w:style w:type="character" w:styleId="Hyperlink">
    <w:name w:val="Hyperlink"/>
    <w:uiPriority w:val="99"/>
    <w:unhideWhenUsed/>
    <w:rsid w:val="00034A34"/>
    <w:rPr>
      <w:color w:val="0563C1"/>
      <w:u w:val="single"/>
    </w:rPr>
  </w:style>
  <w:style w:type="character" w:styleId="UnresolvedMention">
    <w:name w:val="Unresolved Mention"/>
    <w:basedOn w:val="DefaultParagraphFont"/>
    <w:uiPriority w:val="99"/>
    <w:semiHidden/>
    <w:unhideWhenUsed/>
    <w:rsid w:val="007C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Print/lt?jfwid=2n85znlt9&amp;documentId=771e1b9059a111eaac56f6e40072e018&amp;category=TAD" TargetMode="External"/><Relationship Id="rId3" Type="http://schemas.openxmlformats.org/officeDocument/2006/relationships/webSettings" Target="webSettings.xml"/><Relationship Id="rId7" Type="http://schemas.openxmlformats.org/officeDocument/2006/relationships/hyperlink" Target="https://lsmu.lt/wp-content/uploads/2022/12/Outcome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smu.lt/en/for-students/studies/academic-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3752</Words>
  <Characters>2140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Vaicekauskienė</dc:creator>
  <cp:keywords/>
  <dc:description/>
  <cp:lastModifiedBy>Miglė Smaidžiūnaitė</cp:lastModifiedBy>
  <cp:revision>3</cp:revision>
  <dcterms:created xsi:type="dcterms:W3CDTF">2022-12-12T11:13:00Z</dcterms:created>
  <dcterms:modified xsi:type="dcterms:W3CDTF">2022-12-19T11:33:00Z</dcterms:modified>
</cp:coreProperties>
</file>