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40" w14:textId="3774A103" w:rsidR="00DF2F0A" w:rsidRDefault="00DF2F0A" w:rsidP="00074FA6">
      <w:pPr>
        <w:jc w:val="center"/>
        <w:rPr>
          <w:b/>
          <w:bCs/>
          <w:caps/>
        </w:rPr>
      </w:pPr>
      <w:r>
        <w:rPr>
          <w:noProof/>
        </w:rPr>
        <w:drawing>
          <wp:inline distT="0" distB="0" distL="0" distR="0" wp14:anchorId="54353D80" wp14:editId="0B1CC188">
            <wp:extent cx="2790265" cy="6740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83" cy="6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652C" w14:textId="2608A55B" w:rsidR="00A4001D" w:rsidRPr="00074FA6" w:rsidRDefault="00562E8E" w:rsidP="006330FC">
      <w:pPr>
        <w:jc w:val="center"/>
        <w:rPr>
          <w:rFonts w:ascii="Open Sans" w:hAnsi="Open Sans" w:cs="Open Sans"/>
          <w:b/>
          <w:bCs/>
          <w:caps/>
        </w:rPr>
      </w:pPr>
      <w:r w:rsidRPr="00074FA6">
        <w:rPr>
          <w:rFonts w:ascii="Open Sans" w:hAnsi="Open Sans" w:cs="Open Sans"/>
          <w:b/>
          <w:bCs/>
          <w:caps/>
        </w:rPr>
        <w:t>Stud</w:t>
      </w:r>
      <w:r w:rsidR="007B4786">
        <w:rPr>
          <w:rFonts w:ascii="Open Sans" w:hAnsi="Open Sans" w:cs="Open Sans"/>
          <w:b/>
          <w:bCs/>
          <w:caps/>
        </w:rPr>
        <w:t>Y</w:t>
      </w:r>
      <w:r w:rsidRPr="00074FA6">
        <w:rPr>
          <w:rFonts w:ascii="Open Sans" w:hAnsi="Open Sans" w:cs="Open Sans"/>
          <w:b/>
          <w:bCs/>
          <w:caps/>
        </w:rPr>
        <w:t xml:space="preserve"> program</w:t>
      </w:r>
      <w:r w:rsidR="007B4786">
        <w:rPr>
          <w:rFonts w:ascii="Open Sans" w:hAnsi="Open Sans" w:cs="Open Sans"/>
          <w:b/>
          <w:bCs/>
          <w:caps/>
        </w:rPr>
        <w:t>ME</w:t>
      </w:r>
      <w:r w:rsidRPr="00074FA6">
        <w:rPr>
          <w:rFonts w:ascii="Open Sans" w:hAnsi="Open Sans" w:cs="Open Sans"/>
          <w:b/>
          <w:bCs/>
          <w:caps/>
        </w:rPr>
        <w:t xml:space="preserve"> „</w:t>
      </w:r>
      <w:r w:rsidR="0090760C">
        <w:rPr>
          <w:rFonts w:ascii="Open Sans" w:hAnsi="Open Sans" w:cs="Open Sans"/>
          <w:b/>
          <w:bCs/>
          <w:caps/>
        </w:rPr>
        <w:t>Medic</w:t>
      </w:r>
      <w:r w:rsidR="007B4786">
        <w:rPr>
          <w:rFonts w:ascii="Open Sans" w:hAnsi="Open Sans" w:cs="Open Sans"/>
          <w:b/>
          <w:bCs/>
          <w:caps/>
        </w:rPr>
        <w:t>AL AND VETERINARY GENETICS</w:t>
      </w:r>
      <w:r w:rsidRPr="00074FA6">
        <w:rPr>
          <w:rFonts w:ascii="Open Sans" w:hAnsi="Open Sans" w:cs="Open Sans"/>
          <w:b/>
          <w:bCs/>
          <w:caps/>
        </w:rPr>
        <w:t xml:space="preserve">“ </w:t>
      </w:r>
      <w:r w:rsidR="007B4786">
        <w:rPr>
          <w:rFonts w:ascii="Open Sans" w:hAnsi="Open Sans" w:cs="Open Sans"/>
          <w:b/>
          <w:bCs/>
          <w:caps/>
        </w:rPr>
        <w:t>DESPRICTION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514"/>
      </w:tblGrid>
      <w:tr w:rsidR="00562E8E" w:rsidRPr="00FD4308" w14:paraId="3536DDBC" w14:textId="77777777" w:rsidTr="125B2FA5">
        <w:tc>
          <w:tcPr>
            <w:tcW w:w="3325" w:type="dxa"/>
          </w:tcPr>
          <w:p w14:paraId="3BF9CA62" w14:textId="2DD43FD8" w:rsidR="00562E8E" w:rsidRPr="00FD4308" w:rsidRDefault="007B4786">
            <w:pPr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 xml:space="preserve">The </w:t>
            </w:r>
            <w:proofErr w:type="spellStart"/>
            <w:r w:rsidRPr="00FD4308">
              <w:rPr>
                <w:rFonts w:ascii="Open Sans" w:hAnsi="Open Sans" w:cs="Open Sans"/>
              </w:rPr>
              <w:t>Department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responsible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="006E5993" w:rsidRPr="00FD4308">
              <w:rPr>
                <w:rFonts w:ascii="Open Sans" w:hAnsi="Open Sans" w:cs="Open Sans"/>
              </w:rPr>
              <w:t>the</w:t>
            </w:r>
            <w:proofErr w:type="spellEnd"/>
            <w:r w:rsidR="006E5993"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</w:p>
          <w:p w14:paraId="04DAF375" w14:textId="1A369B8A" w:rsidR="00426158" w:rsidRPr="00FD4308" w:rsidRDefault="00426158">
            <w:pPr>
              <w:rPr>
                <w:rFonts w:ascii="Open Sans" w:hAnsi="Open Sans" w:cs="Open Sans"/>
              </w:rPr>
            </w:pPr>
          </w:p>
        </w:tc>
        <w:tc>
          <w:tcPr>
            <w:tcW w:w="6514" w:type="dxa"/>
          </w:tcPr>
          <w:p w14:paraId="5EBA896C" w14:textId="4378D1F8" w:rsidR="00562E8E" w:rsidRPr="00FD4308" w:rsidRDefault="006E5993">
            <w:pPr>
              <w:rPr>
                <w:rFonts w:ascii="Open Sans" w:hAnsi="Open Sans" w:cs="Open Sans"/>
                <w:lang w:val="en-US"/>
              </w:rPr>
            </w:pPr>
            <w:r w:rsidRPr="00FD4308">
              <w:rPr>
                <w:rFonts w:ascii="Open Sans" w:hAnsi="Open Sans" w:cs="Open Sans"/>
              </w:rPr>
              <w:t xml:space="preserve">The Institute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Biology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Systems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Research</w:t>
            </w:r>
            <w:proofErr w:type="spellEnd"/>
          </w:p>
        </w:tc>
      </w:tr>
      <w:tr w:rsidR="00562E8E" w:rsidRPr="00FD4308" w14:paraId="2034945A" w14:textId="77777777" w:rsidTr="125B2FA5">
        <w:tc>
          <w:tcPr>
            <w:tcW w:w="3325" w:type="dxa"/>
          </w:tcPr>
          <w:p w14:paraId="4345ADBF" w14:textId="3E2C906E" w:rsidR="00562E8E" w:rsidRPr="00FD4308" w:rsidRDefault="006E5993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State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code</w:t>
            </w:r>
            <w:proofErr w:type="spellEnd"/>
          </w:p>
          <w:p w14:paraId="14E5458C" w14:textId="78D5F5DA" w:rsidR="00426158" w:rsidRPr="00FD4308" w:rsidRDefault="00426158">
            <w:pPr>
              <w:rPr>
                <w:rFonts w:ascii="Open Sans" w:hAnsi="Open Sans" w:cs="Open Sans"/>
              </w:rPr>
            </w:pPr>
          </w:p>
        </w:tc>
        <w:tc>
          <w:tcPr>
            <w:tcW w:w="6514" w:type="dxa"/>
          </w:tcPr>
          <w:p w14:paraId="3AA9D3F1" w14:textId="657D36E1" w:rsidR="00562E8E" w:rsidRPr="00FD4308" w:rsidRDefault="0090760C">
            <w:pPr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>6121DX002</w:t>
            </w:r>
          </w:p>
        </w:tc>
      </w:tr>
      <w:tr w:rsidR="00562E8E" w:rsidRPr="00FD4308" w14:paraId="156C7863" w14:textId="77777777" w:rsidTr="125B2FA5">
        <w:tc>
          <w:tcPr>
            <w:tcW w:w="3325" w:type="dxa"/>
          </w:tcPr>
          <w:p w14:paraId="76E088DC" w14:textId="35435B3C" w:rsidR="00562E8E" w:rsidRPr="00FD4308" w:rsidRDefault="006E5993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Field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Group</w:t>
            </w:r>
          </w:p>
          <w:p w14:paraId="1C2C0555" w14:textId="63275479" w:rsidR="00426158" w:rsidRPr="00FD4308" w:rsidRDefault="00426158">
            <w:pPr>
              <w:rPr>
                <w:rFonts w:ascii="Open Sans" w:hAnsi="Open Sans" w:cs="Open Sans"/>
              </w:rPr>
            </w:pPr>
          </w:p>
        </w:tc>
        <w:tc>
          <w:tcPr>
            <w:tcW w:w="6514" w:type="dxa"/>
          </w:tcPr>
          <w:p w14:paraId="5FD5500A" w14:textId="6EBC1F8F" w:rsidR="00562E8E" w:rsidRPr="00FD4308" w:rsidRDefault="003F6198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eastAsia="Calibri" w:hAnsi="Open Sans" w:cs="Open Sans"/>
                <w:color w:val="000000"/>
                <w:lang w:eastAsia="lt-LT"/>
              </w:rPr>
              <w:t>Life</w:t>
            </w:r>
            <w:proofErr w:type="spellEnd"/>
            <w:r w:rsidRPr="00FD4308">
              <w:rPr>
                <w:rFonts w:ascii="Open Sans" w:eastAsia="Calibri" w:hAnsi="Open Sans" w:cs="Open Sans"/>
                <w:color w:val="000000"/>
                <w:lang w:eastAsia="lt-LT"/>
              </w:rPr>
              <w:t xml:space="preserve"> </w:t>
            </w:r>
            <w:proofErr w:type="spellStart"/>
            <w:r w:rsidRPr="00FD4308">
              <w:rPr>
                <w:rFonts w:ascii="Open Sans" w:eastAsia="Calibri" w:hAnsi="Open Sans" w:cs="Open Sans"/>
                <w:color w:val="000000"/>
                <w:lang w:eastAsia="lt-LT"/>
              </w:rPr>
              <w:t>Sciences</w:t>
            </w:r>
            <w:proofErr w:type="spellEnd"/>
            <w:r w:rsidRPr="00FD4308">
              <w:rPr>
                <w:rFonts w:ascii="Open Sans" w:eastAsia="Calibri" w:hAnsi="Open Sans" w:cs="Open Sans"/>
                <w:color w:val="000000"/>
                <w:lang w:eastAsia="lt-LT"/>
              </w:rPr>
              <w:t xml:space="preserve"> </w:t>
            </w:r>
            <w:proofErr w:type="spellStart"/>
            <w:r w:rsidR="006E5993" w:rsidRPr="00FD4308">
              <w:rPr>
                <w:rFonts w:ascii="Open Sans" w:eastAsia="Calibri" w:hAnsi="Open Sans" w:cs="Open Sans"/>
                <w:color w:val="000000"/>
                <w:lang w:eastAsia="lt-LT"/>
              </w:rPr>
              <w:t>Study</w:t>
            </w:r>
            <w:proofErr w:type="spellEnd"/>
            <w:r w:rsidR="006E5993" w:rsidRPr="00FD4308">
              <w:rPr>
                <w:rFonts w:ascii="Open Sans" w:eastAsia="Calibri" w:hAnsi="Open Sans" w:cs="Open Sans"/>
                <w:color w:val="000000"/>
                <w:lang w:eastAsia="lt-LT"/>
              </w:rPr>
              <w:t xml:space="preserve"> </w:t>
            </w:r>
            <w:proofErr w:type="spellStart"/>
            <w:r w:rsidR="006E5993" w:rsidRPr="00FD4308">
              <w:rPr>
                <w:rFonts w:ascii="Open Sans" w:eastAsia="Calibri" w:hAnsi="Open Sans" w:cs="Open Sans"/>
                <w:color w:val="000000"/>
                <w:lang w:eastAsia="lt-LT"/>
              </w:rPr>
              <w:t>Field</w:t>
            </w:r>
            <w:proofErr w:type="spellEnd"/>
            <w:r w:rsidR="006E5993" w:rsidRPr="00FD4308">
              <w:rPr>
                <w:rFonts w:ascii="Open Sans" w:eastAsia="Calibri" w:hAnsi="Open Sans" w:cs="Open Sans"/>
                <w:color w:val="000000"/>
                <w:lang w:eastAsia="lt-LT"/>
              </w:rPr>
              <w:t xml:space="preserve"> </w:t>
            </w:r>
            <w:r w:rsidRPr="00FD4308">
              <w:rPr>
                <w:rFonts w:ascii="Open Sans" w:eastAsia="Calibri" w:hAnsi="Open Sans" w:cs="Open Sans"/>
                <w:color w:val="000000"/>
                <w:lang w:eastAsia="lt-LT"/>
              </w:rPr>
              <w:t xml:space="preserve">Group </w:t>
            </w:r>
          </w:p>
        </w:tc>
      </w:tr>
      <w:tr w:rsidR="00562E8E" w:rsidRPr="00FD4308" w14:paraId="1EBF2B51" w14:textId="77777777" w:rsidTr="125B2FA5">
        <w:tc>
          <w:tcPr>
            <w:tcW w:w="3325" w:type="dxa"/>
          </w:tcPr>
          <w:p w14:paraId="5EEE8CE4" w14:textId="0714DA2F" w:rsidR="00562E8E" w:rsidRPr="00FD4308" w:rsidRDefault="006E5993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Field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</w:p>
          <w:p w14:paraId="7D531EE4" w14:textId="1EEF5723" w:rsidR="00426158" w:rsidRPr="00FD4308" w:rsidRDefault="00426158">
            <w:pPr>
              <w:rPr>
                <w:rFonts w:ascii="Open Sans" w:hAnsi="Open Sans" w:cs="Open Sans"/>
              </w:rPr>
            </w:pPr>
          </w:p>
        </w:tc>
        <w:tc>
          <w:tcPr>
            <w:tcW w:w="6514" w:type="dxa"/>
          </w:tcPr>
          <w:p w14:paraId="78D5021E" w14:textId="7B6FB96D" w:rsidR="00562E8E" w:rsidRPr="00FD4308" w:rsidRDefault="0090760C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Geneti</w:t>
            </w:r>
            <w:r w:rsidR="006E5993" w:rsidRPr="00FD4308">
              <w:rPr>
                <w:rFonts w:ascii="Open Sans" w:hAnsi="Open Sans" w:cs="Open Sans"/>
              </w:rPr>
              <w:t>cs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(D02)</w:t>
            </w:r>
          </w:p>
        </w:tc>
      </w:tr>
      <w:tr w:rsidR="00562E8E" w:rsidRPr="00FD4308" w14:paraId="2C606DB1" w14:textId="77777777" w:rsidTr="125B2FA5">
        <w:tc>
          <w:tcPr>
            <w:tcW w:w="3325" w:type="dxa"/>
          </w:tcPr>
          <w:p w14:paraId="10D3EDC9" w14:textId="4F46ED8D" w:rsidR="00562E8E" w:rsidRPr="00FD4308" w:rsidRDefault="00562E8E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Stud</w:t>
            </w:r>
            <w:r w:rsidR="006E5993" w:rsidRPr="00FD4308">
              <w:rPr>
                <w:rFonts w:ascii="Open Sans" w:hAnsi="Open Sans" w:cs="Open Sans"/>
              </w:rPr>
              <w:t>y</w:t>
            </w:r>
            <w:proofErr w:type="spellEnd"/>
            <w:r w:rsidR="006E5993"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="006E5993" w:rsidRPr="00FD4308">
              <w:rPr>
                <w:rFonts w:ascii="Open Sans" w:hAnsi="Open Sans" w:cs="Open Sans"/>
              </w:rPr>
              <w:t>duration</w:t>
            </w:r>
            <w:proofErr w:type="spellEnd"/>
          </w:p>
          <w:p w14:paraId="26ED83FD" w14:textId="009FE2FE" w:rsidR="00426158" w:rsidRPr="00FD4308" w:rsidRDefault="00426158">
            <w:pPr>
              <w:rPr>
                <w:rFonts w:ascii="Open Sans" w:hAnsi="Open Sans" w:cs="Open Sans"/>
              </w:rPr>
            </w:pPr>
          </w:p>
        </w:tc>
        <w:tc>
          <w:tcPr>
            <w:tcW w:w="6514" w:type="dxa"/>
          </w:tcPr>
          <w:p w14:paraId="00ED5848" w14:textId="0404C267" w:rsidR="00562E8E" w:rsidRPr="00FD4308" w:rsidRDefault="0090760C">
            <w:pPr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>3</w:t>
            </w:r>
            <w:r w:rsidR="006E5993" w:rsidRPr="00FD4308">
              <w:rPr>
                <w:rFonts w:ascii="Open Sans" w:hAnsi="Open Sans" w:cs="Open Sans"/>
              </w:rPr>
              <w:t>.</w:t>
            </w:r>
            <w:r w:rsidRPr="00FD4308">
              <w:rPr>
                <w:rFonts w:ascii="Open Sans" w:hAnsi="Open Sans" w:cs="Open Sans"/>
              </w:rPr>
              <w:t xml:space="preserve">5 </w:t>
            </w:r>
            <w:proofErr w:type="spellStart"/>
            <w:r w:rsidR="006E5993" w:rsidRPr="00FD4308">
              <w:rPr>
                <w:rFonts w:ascii="Open Sans" w:hAnsi="Open Sans" w:cs="Open Sans"/>
              </w:rPr>
              <w:t>years</w:t>
            </w:r>
            <w:proofErr w:type="spellEnd"/>
          </w:p>
        </w:tc>
      </w:tr>
      <w:tr w:rsidR="00562E8E" w:rsidRPr="00FD4308" w14:paraId="409C1E6B" w14:textId="77777777" w:rsidTr="125B2FA5">
        <w:tc>
          <w:tcPr>
            <w:tcW w:w="3325" w:type="dxa"/>
          </w:tcPr>
          <w:p w14:paraId="5800F8BA" w14:textId="5BA33477" w:rsidR="00562E8E" w:rsidRPr="00FD4308" w:rsidRDefault="006E5993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Credit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volume</w:t>
            </w:r>
            <w:proofErr w:type="spellEnd"/>
          </w:p>
          <w:p w14:paraId="0A5CE73D" w14:textId="2D5604C0" w:rsidR="00426158" w:rsidRPr="00FD4308" w:rsidRDefault="00426158">
            <w:pPr>
              <w:rPr>
                <w:rFonts w:ascii="Open Sans" w:hAnsi="Open Sans" w:cs="Open Sans"/>
              </w:rPr>
            </w:pPr>
          </w:p>
        </w:tc>
        <w:tc>
          <w:tcPr>
            <w:tcW w:w="6514" w:type="dxa"/>
          </w:tcPr>
          <w:p w14:paraId="1C747DCA" w14:textId="77777777" w:rsidR="00562E8E" w:rsidRPr="00FD4308" w:rsidRDefault="0090760C">
            <w:pPr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>210</w:t>
            </w:r>
          </w:p>
          <w:p w14:paraId="291FB629" w14:textId="547D3010" w:rsidR="00E41382" w:rsidRPr="00FD4308" w:rsidRDefault="00E41382">
            <w:pPr>
              <w:rPr>
                <w:rFonts w:ascii="Open Sans" w:hAnsi="Open Sans" w:cs="Open Sans"/>
              </w:rPr>
            </w:pPr>
          </w:p>
        </w:tc>
      </w:tr>
      <w:tr w:rsidR="00562E8E" w:rsidRPr="00FD4308" w14:paraId="18D727C6" w14:textId="77777777" w:rsidTr="125B2FA5">
        <w:tc>
          <w:tcPr>
            <w:tcW w:w="3325" w:type="dxa"/>
          </w:tcPr>
          <w:p w14:paraId="4047D70F" w14:textId="1DE3F11E" w:rsidR="00426158" w:rsidRPr="00FD4308" w:rsidRDefault="006E5993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eastAsia="MS Mincho" w:hAnsi="Open Sans" w:cs="Open Sans"/>
              </w:rPr>
              <w:t>Qualification</w:t>
            </w:r>
            <w:proofErr w:type="spellEnd"/>
            <w:r w:rsidRPr="00FD4308">
              <w:rPr>
                <w:rFonts w:ascii="Open Sans" w:eastAsia="MS Mincho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eastAsia="MS Mincho" w:hAnsi="Open Sans" w:cs="Open Sans"/>
              </w:rPr>
              <w:t>degree</w:t>
            </w:r>
            <w:proofErr w:type="spellEnd"/>
            <w:r w:rsidRPr="00FD4308">
              <w:rPr>
                <w:rFonts w:ascii="Open Sans" w:eastAsia="MS Mincho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eastAsia="MS Mincho" w:hAnsi="Open Sans" w:cs="Open Sans"/>
              </w:rPr>
              <w:t>and</w:t>
            </w:r>
            <w:proofErr w:type="spellEnd"/>
            <w:r w:rsidRPr="00FD4308">
              <w:rPr>
                <w:rFonts w:ascii="Open Sans" w:eastAsia="MS Mincho" w:hAnsi="Open Sans" w:cs="Open Sans"/>
              </w:rPr>
              <w:t xml:space="preserve"> (</w:t>
            </w:r>
            <w:proofErr w:type="spellStart"/>
            <w:r w:rsidRPr="00FD4308">
              <w:rPr>
                <w:rFonts w:ascii="Open Sans" w:eastAsia="MS Mincho" w:hAnsi="Open Sans" w:cs="Open Sans"/>
              </w:rPr>
              <w:t>or</w:t>
            </w:r>
            <w:proofErr w:type="spellEnd"/>
            <w:r w:rsidRPr="00FD4308">
              <w:rPr>
                <w:rFonts w:ascii="Open Sans" w:eastAsia="MS Mincho" w:hAnsi="Open Sans" w:cs="Open Sans"/>
              </w:rPr>
              <w:t xml:space="preserve">) </w:t>
            </w:r>
            <w:proofErr w:type="spellStart"/>
            <w:r w:rsidRPr="00FD4308">
              <w:rPr>
                <w:rFonts w:ascii="Open Sans" w:eastAsia="MS Mincho" w:hAnsi="Open Sans" w:cs="Open Sans"/>
              </w:rPr>
              <w:t>professional</w:t>
            </w:r>
            <w:proofErr w:type="spellEnd"/>
            <w:r w:rsidRPr="00FD4308">
              <w:rPr>
                <w:rFonts w:ascii="Open Sans" w:eastAsia="MS Mincho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eastAsia="MS Mincho" w:hAnsi="Open Sans" w:cs="Open Sans"/>
              </w:rPr>
              <w:t>qualification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6514" w:type="dxa"/>
          </w:tcPr>
          <w:p w14:paraId="400BC803" w14:textId="77777777" w:rsidR="006E5993" w:rsidRPr="00FD4308" w:rsidRDefault="006E5993" w:rsidP="006E5993">
            <w:pPr>
              <w:spacing w:line="276" w:lineRule="auto"/>
              <w:jc w:val="both"/>
              <w:rPr>
                <w:rFonts w:ascii="Open Sans" w:hAnsi="Open Sans" w:cs="Open Sans"/>
                <w:lang w:val="en-GB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Bachelor’s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degree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r w:rsidRPr="00FD4308">
              <w:rPr>
                <w:rFonts w:ascii="Open Sans" w:hAnsi="Open Sans" w:cs="Open Sans"/>
                <w:lang w:val="en-GB"/>
              </w:rPr>
              <w:t>Life Sciences;</w:t>
            </w:r>
          </w:p>
          <w:p w14:paraId="1F123710" w14:textId="1F04EE30" w:rsidR="00562E8E" w:rsidRPr="00FD4308" w:rsidRDefault="006E5993" w:rsidP="006E5993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Qualification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Biomedical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Technologist</w:t>
            </w:r>
            <w:proofErr w:type="spellEnd"/>
          </w:p>
        </w:tc>
      </w:tr>
      <w:tr w:rsidR="00562E8E" w:rsidRPr="00FD4308" w14:paraId="511E3DB4" w14:textId="77777777" w:rsidTr="125B2FA5">
        <w:tc>
          <w:tcPr>
            <w:tcW w:w="3325" w:type="dxa"/>
          </w:tcPr>
          <w:p w14:paraId="2DDFC69D" w14:textId="2CA7B781" w:rsidR="00426158" w:rsidRPr="00FD4308" w:rsidRDefault="006E5993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eastAsia="MS Mincho" w:hAnsi="Open Sans" w:cs="Open Sans"/>
              </w:rPr>
              <w:t>Cycle</w:t>
            </w:r>
            <w:proofErr w:type="spellEnd"/>
            <w:r w:rsidRPr="00FD4308">
              <w:rPr>
                <w:rFonts w:ascii="Open Sans" w:eastAsia="MS Mincho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eastAsia="MS Mincho" w:hAnsi="Open Sans" w:cs="Open Sans"/>
              </w:rPr>
              <w:t>of</w:t>
            </w:r>
            <w:proofErr w:type="spellEnd"/>
            <w:r w:rsidRPr="00FD4308">
              <w:rPr>
                <w:rFonts w:ascii="Open Sans" w:eastAsia="MS Mincho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eastAsia="MS Mincho" w:hAnsi="Open Sans" w:cs="Open Sans"/>
              </w:rPr>
              <w:t>studies</w:t>
            </w:r>
            <w:proofErr w:type="spellEnd"/>
            <w:r w:rsidRPr="00FD4308">
              <w:rPr>
                <w:rFonts w:ascii="Open Sans" w:eastAsia="MS Mincho" w:hAnsi="Open Sans" w:cs="Open Sans"/>
              </w:rPr>
              <w:t xml:space="preserve"> </w:t>
            </w:r>
          </w:p>
        </w:tc>
        <w:tc>
          <w:tcPr>
            <w:tcW w:w="6514" w:type="dxa"/>
          </w:tcPr>
          <w:p w14:paraId="7CD34C2C" w14:textId="156BB33A" w:rsidR="00562E8E" w:rsidRPr="00FD4308" w:rsidRDefault="006E5993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First</w:t>
            </w:r>
            <w:proofErr w:type="spellEnd"/>
          </w:p>
        </w:tc>
      </w:tr>
      <w:tr w:rsidR="00562E8E" w:rsidRPr="00FD4308" w14:paraId="64B9E5C3" w14:textId="77777777" w:rsidTr="125B2FA5">
        <w:tc>
          <w:tcPr>
            <w:tcW w:w="3325" w:type="dxa"/>
          </w:tcPr>
          <w:p w14:paraId="456C1EEF" w14:textId="3DBEAE6B" w:rsidR="00562E8E" w:rsidRPr="00FD4308" w:rsidRDefault="006E5993">
            <w:pPr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 xml:space="preserve">The </w:t>
            </w:r>
            <w:proofErr w:type="spellStart"/>
            <w:r w:rsidRPr="00FD4308">
              <w:rPr>
                <w:rFonts w:ascii="Open Sans" w:hAnsi="Open Sans" w:cs="Open Sans"/>
              </w:rPr>
              <w:t>aim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="00856250">
              <w:rPr>
                <w:rFonts w:ascii="Open Sans" w:hAnsi="Open Sans" w:cs="Open Sans"/>
              </w:rPr>
              <w:t>s</w:t>
            </w:r>
            <w:r w:rsidRPr="00FD4308">
              <w:rPr>
                <w:rFonts w:ascii="Open Sans" w:hAnsi="Open Sans" w:cs="Open Sans"/>
              </w:rPr>
              <w:t>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</w:p>
          <w:p w14:paraId="111D8AEF" w14:textId="238521BD" w:rsidR="00426158" w:rsidRPr="00FD4308" w:rsidRDefault="00426158">
            <w:pPr>
              <w:rPr>
                <w:rFonts w:ascii="Open Sans" w:hAnsi="Open Sans" w:cs="Open Sans"/>
              </w:rPr>
            </w:pPr>
          </w:p>
        </w:tc>
        <w:tc>
          <w:tcPr>
            <w:tcW w:w="6514" w:type="dxa"/>
          </w:tcPr>
          <w:p w14:paraId="3567A88C" w14:textId="243C8F42" w:rsidR="00562E8E" w:rsidRPr="00FD4308" w:rsidRDefault="005D4F27" w:rsidP="005D4F27">
            <w:pPr>
              <w:spacing w:line="276" w:lineRule="auto"/>
              <w:ind w:firstLine="552"/>
              <w:jc w:val="both"/>
              <w:rPr>
                <w:rFonts w:ascii="Open Sans" w:hAnsi="Open Sans" w:cs="Open Sans"/>
              </w:rPr>
            </w:pPr>
            <w:proofErr w:type="spellStart"/>
            <w:r w:rsidRPr="006330FC">
              <w:rPr>
                <w:rFonts w:ascii="Open Sans" w:hAnsi="Open Sans" w:cs="Open Sans"/>
                <w:bCs/>
              </w:rPr>
              <w:t>Medical</w:t>
            </w:r>
            <w:proofErr w:type="spellEnd"/>
            <w:r w:rsidRPr="006330FC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6330FC">
              <w:rPr>
                <w:rFonts w:ascii="Open Sans" w:hAnsi="Open Sans" w:cs="Open Sans"/>
                <w:bCs/>
              </w:rPr>
              <w:t>and</w:t>
            </w:r>
            <w:proofErr w:type="spellEnd"/>
            <w:r w:rsidRPr="006330FC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6330FC">
              <w:rPr>
                <w:rFonts w:ascii="Open Sans" w:hAnsi="Open Sans" w:cs="Open Sans"/>
                <w:bCs/>
              </w:rPr>
              <w:t>Veterinary</w:t>
            </w:r>
            <w:proofErr w:type="spellEnd"/>
            <w:r w:rsidRPr="006330FC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6330FC">
              <w:rPr>
                <w:rFonts w:ascii="Open Sans" w:hAnsi="Open Sans" w:cs="Open Sans"/>
                <w:bCs/>
              </w:rPr>
              <w:t>Genetics</w:t>
            </w:r>
            <w:proofErr w:type="spellEnd"/>
            <w:r w:rsidRPr="006330FC">
              <w:rPr>
                <w:rFonts w:ascii="Open Sans" w:hAnsi="Open Sans" w:cs="Open Sans"/>
                <w:bCs/>
              </w:rPr>
              <w:t xml:space="preserve"> (MVG) </w:t>
            </w:r>
            <w:proofErr w:type="spellStart"/>
            <w:r w:rsidRPr="006330FC">
              <w:rPr>
                <w:rFonts w:ascii="Open Sans" w:hAnsi="Open Sans" w:cs="Open Sans"/>
                <w:bCs/>
              </w:rPr>
              <w:t>study</w:t>
            </w:r>
            <w:proofErr w:type="spellEnd"/>
            <w:r w:rsidRPr="006330FC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6330FC">
              <w:rPr>
                <w:rFonts w:ascii="Open Sans" w:hAnsi="Open Sans" w:cs="Open Sans"/>
                <w:bCs/>
              </w:rPr>
              <w:t>programme</w:t>
            </w:r>
            <w:proofErr w:type="spellEnd"/>
            <w:r w:rsidRPr="006330FC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6330FC">
              <w:rPr>
                <w:rFonts w:ascii="Open Sans" w:hAnsi="Open Sans" w:cs="Open Sans"/>
                <w:bCs/>
              </w:rPr>
              <w:t>aims</w:t>
            </w:r>
            <w:proofErr w:type="spellEnd"/>
            <w:r w:rsidRPr="00FD4308">
              <w:rPr>
                <w:rFonts w:ascii="Open Sans" w:hAnsi="Open Sans" w:cs="Open Sans"/>
                <w:b/>
              </w:rPr>
              <w:t xml:space="preserve"> </w:t>
            </w:r>
            <w:r w:rsidRPr="00FD4308">
              <w:rPr>
                <w:rFonts w:ascii="Open Sans" w:hAnsi="Open Sans" w:cs="Open Sans"/>
                <w:bCs/>
              </w:rPr>
              <w:t xml:space="preserve">to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prepare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educated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innovative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creative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and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critically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thinking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with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broad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erudition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qualified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geneticists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with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the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fundamental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knowledge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and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skills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required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work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in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the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MVG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related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fields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. The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aims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prepare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the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specialists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who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can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perform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independent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genetic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research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using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modern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analytical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methods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complying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with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the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principles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of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good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laboratory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practice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and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bioethics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and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who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are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able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analyze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the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research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results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obtained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. It also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aims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prepare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the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geneticists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who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have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a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continuous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interest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in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genetics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science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and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improve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and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maintain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their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professional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competencies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through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lifelong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  <w:bCs/>
              </w:rPr>
              <w:t>learning</w:t>
            </w:r>
            <w:proofErr w:type="spellEnd"/>
            <w:r w:rsidRPr="00FD4308">
              <w:rPr>
                <w:rFonts w:ascii="Open Sans" w:hAnsi="Open Sans" w:cs="Open Sans"/>
                <w:bCs/>
              </w:rPr>
              <w:t>.</w:t>
            </w:r>
          </w:p>
        </w:tc>
      </w:tr>
      <w:tr w:rsidR="00562E8E" w:rsidRPr="00FD4308" w14:paraId="6F625AA1" w14:textId="77777777" w:rsidTr="125B2FA5">
        <w:tc>
          <w:tcPr>
            <w:tcW w:w="3325" w:type="dxa"/>
          </w:tcPr>
          <w:p w14:paraId="6C1C4FCA" w14:textId="448A881B" w:rsidR="00562E8E" w:rsidRPr="00FD4308" w:rsidRDefault="00756B06">
            <w:pPr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 xml:space="preserve">The </w:t>
            </w:r>
            <w:proofErr w:type="spellStart"/>
            <w:r w:rsidRPr="00FD4308">
              <w:rPr>
                <w:rFonts w:ascii="Open Sans" w:hAnsi="Open Sans" w:cs="Open Sans"/>
              </w:rPr>
              <w:t>results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</w:p>
          <w:p w14:paraId="2C3C3927" w14:textId="5FEB9768" w:rsidR="00426158" w:rsidRPr="00FD4308" w:rsidRDefault="00426158">
            <w:pPr>
              <w:rPr>
                <w:rFonts w:ascii="Open Sans" w:hAnsi="Open Sans" w:cs="Open Sans"/>
              </w:rPr>
            </w:pPr>
          </w:p>
        </w:tc>
        <w:tc>
          <w:tcPr>
            <w:tcW w:w="6514" w:type="dxa"/>
          </w:tcPr>
          <w:p w14:paraId="1D69655D" w14:textId="1B4EEEE7" w:rsidR="00562E8E" w:rsidRPr="00FD4308" w:rsidRDefault="005B0AF8">
            <w:pPr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 xml:space="preserve">MVG </w:t>
            </w:r>
            <w:proofErr w:type="spellStart"/>
            <w:r w:rsidRPr="00FD4308">
              <w:rPr>
                <w:rFonts w:ascii="Open Sans" w:hAnsi="Open Sans" w:cs="Open Sans"/>
              </w:rPr>
              <w:t>program</w:t>
            </w:r>
            <w:r w:rsidR="006A640B" w:rsidRPr="00FD4308">
              <w:rPr>
                <w:rFonts w:ascii="Open Sans" w:hAnsi="Open Sans" w:cs="Open Sans"/>
              </w:rPr>
              <w:t>me</w:t>
            </w:r>
            <w:proofErr w:type="spellEnd"/>
            <w:r w:rsidR="006A640B"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="006A640B" w:rsidRPr="00FD4308">
              <w:rPr>
                <w:rFonts w:ascii="Open Sans" w:hAnsi="Open Sans" w:cs="Open Sans"/>
              </w:rPr>
              <w:t>results</w:t>
            </w:r>
            <w:proofErr w:type="spellEnd"/>
            <w:r w:rsidR="006A640B" w:rsidRPr="00FD4308">
              <w:rPr>
                <w:rFonts w:ascii="Open Sans" w:hAnsi="Open Sans" w:cs="Open Sans"/>
              </w:rPr>
              <w:t xml:space="preserve"> are </w:t>
            </w:r>
            <w:proofErr w:type="spellStart"/>
            <w:r w:rsidR="006A640B" w:rsidRPr="00FD7675">
              <w:rPr>
                <w:rFonts w:ascii="Open Sans" w:hAnsi="Open Sans" w:cs="Open Sans"/>
              </w:rPr>
              <w:t>available</w:t>
            </w:r>
            <w:proofErr w:type="spellEnd"/>
            <w:r w:rsidR="006A640B" w:rsidRPr="00FD7675">
              <w:rPr>
                <w:rFonts w:ascii="Open Sans" w:hAnsi="Open Sans" w:cs="Open Sans"/>
              </w:rPr>
              <w:t xml:space="preserve"> </w:t>
            </w:r>
            <w:hyperlink r:id="rId8" w:history="1">
              <w:proofErr w:type="spellStart"/>
              <w:r w:rsidR="006A640B" w:rsidRPr="00FD7675">
                <w:rPr>
                  <w:rStyle w:val="Hyperlink"/>
                  <w:rFonts w:ascii="Open Sans" w:hAnsi="Open Sans" w:cs="Open Sans"/>
                </w:rPr>
                <w:t>here</w:t>
              </w:r>
              <w:proofErr w:type="spellEnd"/>
            </w:hyperlink>
            <w:r w:rsidRPr="00FD7675">
              <w:rPr>
                <w:rFonts w:ascii="Open Sans" w:hAnsi="Open Sans" w:cs="Open Sans"/>
              </w:rPr>
              <w:t>.</w:t>
            </w:r>
          </w:p>
        </w:tc>
      </w:tr>
      <w:tr w:rsidR="00041119" w:rsidRPr="00FD4308" w14:paraId="4CBDF377" w14:textId="77777777" w:rsidTr="125B2FA5">
        <w:tc>
          <w:tcPr>
            <w:tcW w:w="3325" w:type="dxa"/>
          </w:tcPr>
          <w:p w14:paraId="22724DF9" w14:textId="5D9A2C6B" w:rsidR="00041119" w:rsidRPr="00FD4308" w:rsidRDefault="00756B06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Features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</w:t>
            </w:r>
            <w:proofErr w:type="spellStart"/>
            <w:r w:rsidRPr="00FD4308">
              <w:rPr>
                <w:rFonts w:ascii="Open Sans" w:hAnsi="Open Sans" w:cs="Open Sans"/>
              </w:rPr>
              <w:t>annotation</w:t>
            </w:r>
            <w:proofErr w:type="spellEnd"/>
            <w:r w:rsidRPr="00FD4308">
              <w:rPr>
                <w:rFonts w:ascii="Open Sans" w:hAnsi="Open Sans" w:cs="Open Sans"/>
              </w:rPr>
              <w:t>)</w:t>
            </w:r>
          </w:p>
        </w:tc>
        <w:tc>
          <w:tcPr>
            <w:tcW w:w="6514" w:type="dxa"/>
          </w:tcPr>
          <w:p w14:paraId="16260C98" w14:textId="1C7C2B89" w:rsidR="00041119" w:rsidRPr="00FD4308" w:rsidRDefault="00756B06" w:rsidP="00727079">
            <w:pPr>
              <w:jc w:val="both"/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 xml:space="preserve">The </w:t>
            </w:r>
            <w:proofErr w:type="spellStart"/>
            <w:r w:rsidRPr="00FD4308">
              <w:rPr>
                <w:rFonts w:ascii="Open Sans" w:hAnsi="Open Sans" w:cs="Open Sans"/>
              </w:rPr>
              <w:t>genetics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 </w:t>
            </w:r>
            <w:proofErr w:type="spellStart"/>
            <w:r w:rsidRPr="00FD4308">
              <w:rPr>
                <w:rFonts w:ascii="Open Sans" w:hAnsi="Open Sans" w:cs="Open Sans"/>
              </w:rPr>
              <w:t>rapidly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evolving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field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with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 </w:t>
            </w:r>
            <w:proofErr w:type="spellStart"/>
            <w:r w:rsidRPr="00FD4308">
              <w:rPr>
                <w:rFonts w:ascii="Open Sans" w:hAnsi="Open Sans" w:cs="Open Sans"/>
              </w:rPr>
              <w:t>constant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increase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applying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it to </w:t>
            </w:r>
            <w:proofErr w:type="spellStart"/>
            <w:r w:rsidRPr="00FD4308">
              <w:rPr>
                <w:rFonts w:ascii="Open Sans" w:hAnsi="Open Sans" w:cs="Open Sans"/>
              </w:rPr>
              <w:t>clinical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practice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scientific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research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everyday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activities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</w:t>
            </w:r>
            <w:proofErr w:type="spellStart"/>
            <w:r w:rsidRPr="00FD4308">
              <w:rPr>
                <w:rFonts w:ascii="Open Sans" w:hAnsi="Open Sans" w:cs="Open Sans"/>
              </w:rPr>
              <w:t>Genetic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testing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allows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: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establishment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disease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diagnosis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humans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animals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;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evaluation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multifactorial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disease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risks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;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identification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specific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pathogens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viruses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bacteria</w:t>
            </w:r>
            <w:proofErr w:type="spellEnd"/>
            <w:r w:rsidRPr="00FD4308">
              <w:rPr>
                <w:rFonts w:ascii="Open Sans" w:hAnsi="Open Sans" w:cs="Open Sans"/>
              </w:rPr>
              <w:t xml:space="preserve">;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analysis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genetically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modified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organisms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;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determination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animal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plant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breeds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</w:t>
            </w:r>
            <w:proofErr w:type="spellStart"/>
            <w:r w:rsidRPr="00FD4308">
              <w:rPr>
                <w:rFonts w:ascii="Open Sans" w:hAnsi="Open Sans" w:cs="Open Sans"/>
              </w:rPr>
              <w:t>Genetic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testing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also </w:t>
            </w:r>
            <w:proofErr w:type="spellStart"/>
            <w:r w:rsidRPr="00FD4308">
              <w:rPr>
                <w:rFonts w:ascii="Open Sans" w:hAnsi="Open Sans" w:cs="Open Sans"/>
              </w:rPr>
              <w:t>used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sequence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SARS-CoV-2 virus,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sequencing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results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are </w:t>
            </w:r>
            <w:proofErr w:type="spellStart"/>
            <w:r w:rsidRPr="00FD4308">
              <w:rPr>
                <w:rFonts w:ascii="Open Sans" w:hAnsi="Open Sans" w:cs="Open Sans"/>
              </w:rPr>
              <w:t>essential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developing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improving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COVID-19 </w:t>
            </w:r>
            <w:proofErr w:type="spellStart"/>
            <w:r w:rsidRPr="00FD4308">
              <w:rPr>
                <w:rFonts w:ascii="Open Sans" w:hAnsi="Open Sans" w:cs="Open Sans"/>
              </w:rPr>
              <w:t>vaccines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</w:t>
            </w:r>
            <w:proofErr w:type="spellStart"/>
            <w:r w:rsidRPr="00FD4308">
              <w:rPr>
                <w:rFonts w:ascii="Open Sans" w:hAnsi="Open Sans" w:cs="Open Sans"/>
              </w:rPr>
              <w:t>That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lastRenderedPageBreak/>
              <w:t>indicates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that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need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specialists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prepared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relevant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currently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present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The </w:t>
            </w:r>
            <w:proofErr w:type="spellStart"/>
            <w:r w:rsidRPr="00FD4308">
              <w:rPr>
                <w:rFonts w:ascii="Open Sans" w:hAnsi="Open Sans" w:cs="Open Sans"/>
              </w:rPr>
              <w:t>uniqueness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MVG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that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it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only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providing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knowledge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applied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biological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pathological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processes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humans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animals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</w:t>
            </w:r>
            <w:proofErr w:type="spellStart"/>
            <w:r w:rsidRPr="00FD4308">
              <w:rPr>
                <w:rFonts w:ascii="Open Sans" w:hAnsi="Open Sans" w:cs="Open Sans"/>
              </w:rPr>
              <w:t>After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graduating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MVG </w:t>
            </w:r>
            <w:proofErr w:type="spellStart"/>
            <w:r w:rsidRPr="00FD4308">
              <w:rPr>
                <w:rFonts w:ascii="Open Sans" w:hAnsi="Open Sans" w:cs="Open Sans"/>
              </w:rPr>
              <w:t>students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are </w:t>
            </w:r>
            <w:proofErr w:type="spellStart"/>
            <w:r w:rsidRPr="00FD4308">
              <w:rPr>
                <w:rFonts w:ascii="Open Sans" w:hAnsi="Open Sans" w:cs="Open Sans"/>
              </w:rPr>
              <w:t>able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use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acquired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knowledge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planning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performing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human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animal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testing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evaluating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testing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results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based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clinical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aspects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sample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characteristics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</w:t>
            </w:r>
            <w:proofErr w:type="spellStart"/>
            <w:r w:rsidRPr="00FD4308">
              <w:rPr>
                <w:rFonts w:ascii="Open Sans" w:hAnsi="Open Sans" w:cs="Open Sans"/>
              </w:rPr>
              <w:t>Moreover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it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only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unique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LSMU MF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Lithuania </w:t>
            </w:r>
            <w:proofErr w:type="spellStart"/>
            <w:r w:rsidRPr="00FD4308">
              <w:rPr>
                <w:rFonts w:ascii="Open Sans" w:hAnsi="Open Sans" w:cs="Open Sans"/>
              </w:rPr>
              <w:t>that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provides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quality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professional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knowledge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field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animal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genetics</w:t>
            </w:r>
            <w:proofErr w:type="spellEnd"/>
            <w:r w:rsidRPr="00FD4308">
              <w:rPr>
                <w:rFonts w:ascii="Open Sans" w:hAnsi="Open Sans" w:cs="Open Sans"/>
              </w:rPr>
              <w:t>.</w:t>
            </w:r>
          </w:p>
        </w:tc>
      </w:tr>
      <w:tr w:rsidR="00562E8E" w:rsidRPr="00FD4308" w14:paraId="118E23D4" w14:textId="77777777" w:rsidTr="125B2FA5">
        <w:tc>
          <w:tcPr>
            <w:tcW w:w="3325" w:type="dxa"/>
          </w:tcPr>
          <w:p w14:paraId="244A3AB3" w14:textId="77777777" w:rsidR="00C53C2B" w:rsidRPr="00FD4308" w:rsidRDefault="00C53C2B" w:rsidP="00C53C2B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lastRenderedPageBreak/>
              <w:t>Admission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requirements</w:t>
            </w:r>
            <w:proofErr w:type="spellEnd"/>
          </w:p>
          <w:p w14:paraId="588CEB51" w14:textId="152DDE83" w:rsidR="00426158" w:rsidRPr="00FD4308" w:rsidRDefault="00426158">
            <w:pPr>
              <w:rPr>
                <w:rFonts w:ascii="Open Sans" w:hAnsi="Open Sans" w:cs="Open Sans"/>
              </w:rPr>
            </w:pPr>
          </w:p>
        </w:tc>
        <w:tc>
          <w:tcPr>
            <w:tcW w:w="6514" w:type="dxa"/>
          </w:tcPr>
          <w:p w14:paraId="312C74EB" w14:textId="080327DF" w:rsidR="00562E8E" w:rsidRPr="00FD4308" w:rsidRDefault="00C53C2B" w:rsidP="001F489C">
            <w:pPr>
              <w:jc w:val="both"/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 xml:space="preserve">The </w:t>
            </w:r>
            <w:proofErr w:type="spellStart"/>
            <w:r w:rsidRPr="00FD4308">
              <w:rPr>
                <w:rFonts w:ascii="Open Sans" w:hAnsi="Open Sans" w:cs="Open Sans"/>
              </w:rPr>
              <w:t>main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criterion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admission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 </w:t>
            </w:r>
            <w:proofErr w:type="spellStart"/>
            <w:r w:rsidRPr="00FD4308">
              <w:rPr>
                <w:rFonts w:ascii="Open Sans" w:hAnsi="Open Sans" w:cs="Open Sans"/>
              </w:rPr>
              <w:t>competitive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score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The </w:t>
            </w:r>
            <w:proofErr w:type="spellStart"/>
            <w:r w:rsidRPr="00FD4308">
              <w:rPr>
                <w:rFonts w:ascii="Open Sans" w:hAnsi="Open Sans" w:cs="Open Sans"/>
              </w:rPr>
              <w:t>competitive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score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accumulated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assessing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state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maturity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examination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grades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biology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(40%), Lithuanian </w:t>
            </w:r>
            <w:proofErr w:type="spellStart"/>
            <w:r w:rsidRPr="00FD4308">
              <w:rPr>
                <w:rFonts w:ascii="Open Sans" w:hAnsi="Open Sans" w:cs="Open Sans"/>
              </w:rPr>
              <w:t>language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(20%),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annual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average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state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maturity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examination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grades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chemistry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mathematics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(20%), </w:t>
            </w:r>
            <w:proofErr w:type="spellStart"/>
            <w:r w:rsidRPr="00FD4308">
              <w:rPr>
                <w:rFonts w:ascii="Open Sans" w:hAnsi="Open Sans" w:cs="Open Sans"/>
              </w:rPr>
              <w:t>including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one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chosen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optional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subject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(20%). The </w:t>
            </w:r>
            <w:proofErr w:type="spellStart"/>
            <w:r w:rsidRPr="00FD4308">
              <w:rPr>
                <w:rFonts w:ascii="Open Sans" w:hAnsi="Open Sans" w:cs="Open Sans"/>
              </w:rPr>
              <w:t>entrants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holding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 </w:t>
            </w:r>
            <w:proofErr w:type="spellStart"/>
            <w:r w:rsidRPr="00FD4308">
              <w:rPr>
                <w:rFonts w:ascii="Open Sans" w:hAnsi="Open Sans" w:cs="Open Sans"/>
              </w:rPr>
              <w:t>maturity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certificate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without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maturity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examination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assessments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>/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annual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grades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 </w:t>
            </w:r>
            <w:proofErr w:type="spellStart"/>
            <w:r w:rsidRPr="00FD4308">
              <w:rPr>
                <w:rFonts w:ascii="Open Sans" w:hAnsi="Open Sans" w:cs="Open Sans"/>
              </w:rPr>
              <w:t>competitive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module are </w:t>
            </w:r>
            <w:proofErr w:type="spellStart"/>
            <w:r w:rsidRPr="00FD4308">
              <w:rPr>
                <w:rFonts w:ascii="Open Sans" w:hAnsi="Open Sans" w:cs="Open Sans"/>
              </w:rPr>
              <w:t>considered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have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 </w:t>
            </w:r>
            <w:proofErr w:type="spellStart"/>
            <w:r w:rsidRPr="00FD4308">
              <w:rPr>
                <w:rFonts w:ascii="Open Sans" w:hAnsi="Open Sans" w:cs="Open Sans"/>
              </w:rPr>
              <w:t>grade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zero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(0)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that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subject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are </w:t>
            </w:r>
            <w:proofErr w:type="spellStart"/>
            <w:r w:rsidRPr="00FD4308">
              <w:rPr>
                <w:rFonts w:ascii="Open Sans" w:hAnsi="Open Sans" w:cs="Open Sans"/>
              </w:rPr>
              <w:t>admitted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competition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</w:t>
            </w:r>
            <w:proofErr w:type="spellStart"/>
            <w:r w:rsidRPr="00FD4308">
              <w:rPr>
                <w:rFonts w:ascii="Open Sans" w:hAnsi="Open Sans" w:cs="Open Sans"/>
              </w:rPr>
              <w:t>Additional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points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are </w:t>
            </w:r>
            <w:proofErr w:type="spellStart"/>
            <w:r w:rsidRPr="00FD4308">
              <w:rPr>
                <w:rFonts w:ascii="Open Sans" w:hAnsi="Open Sans" w:cs="Open Sans"/>
              </w:rPr>
              <w:t>added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competitive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score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only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compliance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with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orders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issued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LR ESSM </w:t>
            </w:r>
            <w:proofErr w:type="spellStart"/>
            <w:r w:rsidRPr="00FD4308">
              <w:rPr>
                <w:rFonts w:ascii="Open Sans" w:hAnsi="Open Sans" w:cs="Open Sans"/>
              </w:rPr>
              <w:t>for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current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year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The </w:t>
            </w:r>
            <w:proofErr w:type="spellStart"/>
            <w:r w:rsidRPr="00FD4308">
              <w:rPr>
                <w:rFonts w:ascii="Open Sans" w:hAnsi="Open Sans" w:cs="Open Sans"/>
              </w:rPr>
              <w:t>individuals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participating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competition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their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application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indicate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up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nine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preferred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</w:t>
            </w:r>
            <w:proofErr w:type="spellStart"/>
            <w:r w:rsidRPr="00FD4308">
              <w:rPr>
                <w:rFonts w:ascii="Open Sans" w:hAnsi="Open Sans" w:cs="Open Sans"/>
              </w:rPr>
              <w:t>All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procedures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are </w:t>
            </w:r>
            <w:proofErr w:type="spellStart"/>
            <w:r w:rsidRPr="00FD4308">
              <w:rPr>
                <w:rFonts w:ascii="Open Sans" w:hAnsi="Open Sans" w:cs="Open Sans"/>
              </w:rPr>
              <w:t>performed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electronically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LAMA BPO </w:t>
            </w:r>
            <w:proofErr w:type="spellStart"/>
            <w:r w:rsidRPr="00FD4308">
              <w:rPr>
                <w:rFonts w:ascii="Open Sans" w:hAnsi="Open Sans" w:cs="Open Sans"/>
              </w:rPr>
              <w:t>Information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System (BPIS).</w:t>
            </w:r>
          </w:p>
        </w:tc>
      </w:tr>
      <w:tr w:rsidR="00041119" w:rsidRPr="00FD4308" w14:paraId="607E4DA5" w14:textId="77777777" w:rsidTr="125B2FA5">
        <w:tc>
          <w:tcPr>
            <w:tcW w:w="3325" w:type="dxa"/>
          </w:tcPr>
          <w:p w14:paraId="278FCBD9" w14:textId="7A11AAD3" w:rsidR="00426158" w:rsidRPr="00FD4308" w:rsidRDefault="001F489C">
            <w:pPr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 xml:space="preserve">Professional </w:t>
            </w:r>
            <w:proofErr w:type="spellStart"/>
            <w:r w:rsidRPr="00FD4308">
              <w:rPr>
                <w:rFonts w:ascii="Open Sans" w:hAnsi="Open Sans" w:cs="Open Sans"/>
              </w:rPr>
              <w:t>career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opportunities</w:t>
            </w:r>
            <w:proofErr w:type="spellEnd"/>
          </w:p>
        </w:tc>
        <w:tc>
          <w:tcPr>
            <w:tcW w:w="6514" w:type="dxa"/>
          </w:tcPr>
          <w:p w14:paraId="528C03E5" w14:textId="15BE7316" w:rsidR="00041119" w:rsidRPr="00FD4308" w:rsidRDefault="001F489C" w:rsidP="0094790F">
            <w:pPr>
              <w:jc w:val="both"/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 xml:space="preserve">The MVG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professional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activities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are </w:t>
            </w:r>
            <w:proofErr w:type="spellStart"/>
            <w:r w:rsidRPr="00FD4308">
              <w:rPr>
                <w:rFonts w:ascii="Open Sans" w:hAnsi="Open Sans" w:cs="Open Sans"/>
              </w:rPr>
              <w:t>performed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at </w:t>
            </w:r>
            <w:proofErr w:type="spellStart"/>
            <w:r w:rsidRPr="00FD4308">
              <w:rPr>
                <w:rFonts w:ascii="Open Sans" w:hAnsi="Open Sans" w:cs="Open Sans"/>
              </w:rPr>
              <w:t>scientific</w:t>
            </w:r>
            <w:proofErr w:type="spellEnd"/>
            <w:r w:rsidRPr="00FD4308">
              <w:rPr>
                <w:rFonts w:ascii="Open Sans" w:hAnsi="Open Sans" w:cs="Open Sans"/>
              </w:rPr>
              <w:t>/</w:t>
            </w:r>
            <w:proofErr w:type="spellStart"/>
            <w:r w:rsidRPr="00FD4308">
              <w:rPr>
                <w:rFonts w:ascii="Open Sans" w:hAnsi="Open Sans" w:cs="Open Sans"/>
              </w:rPr>
              <w:t>research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diagnostic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laboratories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involved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testing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</w:t>
            </w:r>
            <w:proofErr w:type="spellStart"/>
            <w:r w:rsidRPr="00FD4308">
              <w:rPr>
                <w:rFonts w:ascii="Open Sans" w:hAnsi="Open Sans" w:cs="Open Sans"/>
              </w:rPr>
              <w:t>Upon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completing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graduates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work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laboratories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public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private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health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care </w:t>
            </w:r>
            <w:proofErr w:type="spellStart"/>
            <w:r w:rsidRPr="00FD4308">
              <w:rPr>
                <w:rFonts w:ascii="Open Sans" w:hAnsi="Open Sans" w:cs="Open Sans"/>
              </w:rPr>
              <w:t>sector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veterinary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laboratories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health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care </w:t>
            </w:r>
            <w:proofErr w:type="spellStart"/>
            <w:r w:rsidRPr="00FD4308">
              <w:rPr>
                <w:rFonts w:ascii="Open Sans" w:hAnsi="Open Sans" w:cs="Open Sans"/>
              </w:rPr>
              <w:t>resorts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food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processing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facilities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genetically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modified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organism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laboratories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biotechnology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microbiology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pharmaceutical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companies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food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veterinary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services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dairy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meat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their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product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processing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system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institutions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etc. The MVG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programme’s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graduates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also </w:t>
            </w:r>
            <w:proofErr w:type="spellStart"/>
            <w:r w:rsidRPr="00FD4308">
              <w:rPr>
                <w:rFonts w:ascii="Open Sans" w:hAnsi="Open Sans" w:cs="Open Sans"/>
              </w:rPr>
              <w:t>work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various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scientific</w:t>
            </w:r>
            <w:proofErr w:type="spellEnd"/>
            <w:r w:rsidRPr="00FD4308">
              <w:rPr>
                <w:rFonts w:ascii="Open Sans" w:hAnsi="Open Sans" w:cs="Open Sans"/>
              </w:rPr>
              <w:t>/</w:t>
            </w:r>
            <w:proofErr w:type="spellStart"/>
            <w:r w:rsidRPr="00FD4308">
              <w:rPr>
                <w:rFonts w:ascii="Open Sans" w:hAnsi="Open Sans" w:cs="Open Sans"/>
              </w:rPr>
              <w:t>research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institutions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being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constantly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involved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epigenetic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genomic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transcriptomic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biochemical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testing</w:t>
            </w:r>
            <w:proofErr w:type="spellEnd"/>
            <w:r w:rsidRPr="00FD4308">
              <w:rPr>
                <w:rFonts w:ascii="Open Sans" w:hAnsi="Open Sans" w:cs="Open Sans"/>
              </w:rPr>
              <w:t>/</w:t>
            </w:r>
            <w:proofErr w:type="spellStart"/>
            <w:r w:rsidRPr="00FD4308">
              <w:rPr>
                <w:rFonts w:ascii="Open Sans" w:hAnsi="Open Sans" w:cs="Open Sans"/>
              </w:rPr>
              <w:t>research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experimenting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use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cell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cultures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animal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models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etc.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addition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they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also </w:t>
            </w:r>
            <w:proofErr w:type="spellStart"/>
            <w:r w:rsidRPr="00FD4308">
              <w:rPr>
                <w:rFonts w:ascii="Open Sans" w:hAnsi="Open Sans" w:cs="Open Sans"/>
              </w:rPr>
              <w:t>work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institutions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providing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process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studying-related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activities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Also, </w:t>
            </w:r>
            <w:proofErr w:type="spellStart"/>
            <w:r w:rsidRPr="00FD4308">
              <w:rPr>
                <w:rFonts w:ascii="Open Sans" w:hAnsi="Open Sans" w:cs="Open Sans"/>
              </w:rPr>
              <w:t>they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start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their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own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business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be a </w:t>
            </w:r>
            <w:proofErr w:type="spellStart"/>
            <w:r w:rsidRPr="00FD4308">
              <w:rPr>
                <w:rFonts w:ascii="Open Sans" w:hAnsi="Open Sans" w:cs="Open Sans"/>
              </w:rPr>
              <w:t>part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it </w:t>
            </w:r>
            <w:proofErr w:type="spellStart"/>
            <w:r w:rsidRPr="00FD4308">
              <w:rPr>
                <w:rFonts w:ascii="Open Sans" w:hAnsi="Open Sans" w:cs="Open Sans"/>
              </w:rPr>
              <w:t>as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shareholders</w:t>
            </w:r>
            <w:proofErr w:type="spellEnd"/>
            <w:r w:rsidRPr="00FD4308">
              <w:rPr>
                <w:rFonts w:ascii="Open Sans" w:hAnsi="Open Sans" w:cs="Open Sans"/>
              </w:rPr>
              <w:t>.</w:t>
            </w:r>
          </w:p>
        </w:tc>
      </w:tr>
      <w:tr w:rsidR="00041119" w:rsidRPr="00FD4308" w14:paraId="75F92DF9" w14:textId="77777777" w:rsidTr="125B2FA5">
        <w:tc>
          <w:tcPr>
            <w:tcW w:w="3325" w:type="dxa"/>
          </w:tcPr>
          <w:p w14:paraId="3EA30A1B" w14:textId="1D635831" w:rsidR="00426158" w:rsidRPr="00FD4308" w:rsidRDefault="00BB237C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Student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exchange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opportunities</w:t>
            </w:r>
            <w:proofErr w:type="spellEnd"/>
          </w:p>
        </w:tc>
        <w:tc>
          <w:tcPr>
            <w:tcW w:w="6514" w:type="dxa"/>
          </w:tcPr>
          <w:p w14:paraId="0FC79058" w14:textId="5415EE42" w:rsidR="00041119" w:rsidRPr="00FD4308" w:rsidRDefault="00F363C4" w:rsidP="00F363C4">
            <w:pPr>
              <w:jc w:val="both"/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All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LSMU </w:t>
            </w:r>
            <w:proofErr w:type="spellStart"/>
            <w:r w:rsidRPr="00FD4308">
              <w:rPr>
                <w:rFonts w:ascii="Open Sans" w:hAnsi="Open Sans" w:cs="Open Sans"/>
              </w:rPr>
              <w:t>students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have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equal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opportunities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participate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international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mobility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projects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(Erasmus+, etc.)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leave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3-12 </w:t>
            </w:r>
            <w:proofErr w:type="spellStart"/>
            <w:r w:rsidRPr="00FD4308">
              <w:rPr>
                <w:rFonts w:ascii="Open Sans" w:hAnsi="Open Sans" w:cs="Open Sans"/>
              </w:rPr>
              <w:t>months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during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period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HEIs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which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have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signed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inter-institutional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lastRenderedPageBreak/>
              <w:t>agreements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with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LSMU,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Europe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worldwide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>/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2-12 </w:t>
            </w:r>
            <w:proofErr w:type="spellStart"/>
            <w:r w:rsidRPr="00FD4308">
              <w:rPr>
                <w:rFonts w:ascii="Open Sans" w:hAnsi="Open Sans" w:cs="Open Sans"/>
              </w:rPr>
              <w:t>months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- </w:t>
            </w:r>
            <w:proofErr w:type="spellStart"/>
            <w:r w:rsidRPr="00FD4308">
              <w:rPr>
                <w:rFonts w:ascii="Open Sans" w:hAnsi="Open Sans" w:cs="Open Sans"/>
              </w:rPr>
              <w:t>for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practical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training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chosen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foreign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institution</w:t>
            </w:r>
            <w:proofErr w:type="spellEnd"/>
            <w:r w:rsidRPr="00FD4308">
              <w:rPr>
                <w:rFonts w:ascii="Open Sans" w:hAnsi="Open Sans" w:cs="Open Sans"/>
              </w:rPr>
              <w:t>.</w:t>
            </w:r>
          </w:p>
        </w:tc>
      </w:tr>
      <w:tr w:rsidR="00426158" w:rsidRPr="00FD4308" w14:paraId="3F1993F4" w14:textId="77777777" w:rsidTr="125B2FA5">
        <w:tc>
          <w:tcPr>
            <w:tcW w:w="3325" w:type="dxa"/>
          </w:tcPr>
          <w:p w14:paraId="4291964E" w14:textId="64A0432C" w:rsidR="00426158" w:rsidRPr="00FD4308" w:rsidRDefault="006330FC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lastRenderedPageBreak/>
              <w:t>Career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o</w:t>
            </w:r>
            <w:r w:rsidR="00337469" w:rsidRPr="00FD4308">
              <w:rPr>
                <w:rFonts w:ascii="Open Sans" w:hAnsi="Open Sans" w:cs="Open Sans"/>
              </w:rPr>
              <w:t>pportunities</w:t>
            </w:r>
            <w:proofErr w:type="spellEnd"/>
            <w:r w:rsidR="00337469" w:rsidRPr="00FD4308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6514" w:type="dxa"/>
          </w:tcPr>
          <w:p w14:paraId="663FF7FD" w14:textId="5F00E92E" w:rsidR="00426158" w:rsidRPr="00FD4308" w:rsidRDefault="00345620" w:rsidP="00715452">
            <w:pPr>
              <w:jc w:val="both"/>
              <w:rPr>
                <w:rFonts w:ascii="Open Sans" w:hAnsi="Open Sans" w:cs="Open Sans"/>
              </w:rPr>
            </w:pPr>
            <w:r w:rsidRPr="00FD4308">
              <w:rPr>
                <w:rFonts w:ascii="Open Sans" w:hAnsi="Open Sans" w:cs="Open Sans"/>
              </w:rPr>
              <w:t xml:space="preserve">The </w:t>
            </w:r>
            <w:proofErr w:type="spellStart"/>
            <w:r w:rsidRPr="00FD4308">
              <w:rPr>
                <w:rFonts w:ascii="Open Sans" w:hAnsi="Open Sans" w:cs="Open Sans"/>
              </w:rPr>
              <w:t>graduates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MVG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choose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master’s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life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sciences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related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fields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at LSMU (</w:t>
            </w:r>
            <w:proofErr w:type="spellStart"/>
            <w:r w:rsidRPr="00FD4308">
              <w:rPr>
                <w:rFonts w:ascii="Open Sans" w:hAnsi="Open Sans" w:cs="Open Sans"/>
              </w:rPr>
              <w:t>Laboratory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Medical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Biology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Medical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Chemistry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)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other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universities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LT (</w:t>
            </w:r>
            <w:proofErr w:type="spellStart"/>
            <w:r w:rsidRPr="00FD4308">
              <w:rPr>
                <w:rFonts w:ascii="Open Sans" w:hAnsi="Open Sans" w:cs="Open Sans"/>
              </w:rPr>
              <w:t>Genetics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(VU), </w:t>
            </w:r>
            <w:proofErr w:type="spellStart"/>
            <w:r w:rsidRPr="00FD4308">
              <w:rPr>
                <w:rFonts w:ascii="Open Sans" w:hAnsi="Open Sans" w:cs="Open Sans"/>
              </w:rPr>
              <w:t>Medical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Genetics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(VU), </w:t>
            </w:r>
            <w:proofErr w:type="spellStart"/>
            <w:r w:rsidRPr="00FD4308">
              <w:rPr>
                <w:rFonts w:ascii="Open Sans" w:hAnsi="Open Sans" w:cs="Open Sans"/>
              </w:rPr>
              <w:t>Molecular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Biology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Biotechnology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(VDU), etc.). Also,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MVG </w:t>
            </w:r>
            <w:proofErr w:type="spellStart"/>
            <w:r w:rsidRPr="00FD4308">
              <w:rPr>
                <w:rFonts w:ascii="Open Sans" w:hAnsi="Open Sans" w:cs="Open Sans"/>
              </w:rPr>
              <w:t>graduates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continue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master’s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at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different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international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HEIs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</w:t>
            </w:r>
            <w:proofErr w:type="spellStart"/>
            <w:r w:rsidRPr="00FD4308">
              <w:rPr>
                <w:rFonts w:ascii="Open Sans" w:hAnsi="Open Sans" w:cs="Open Sans"/>
              </w:rPr>
              <w:t>After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completing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second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cycle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graduates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enter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third-cycle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doctorate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gain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 </w:t>
            </w:r>
            <w:proofErr w:type="spellStart"/>
            <w:r w:rsidRPr="00FD4308">
              <w:rPr>
                <w:rFonts w:ascii="Open Sans" w:hAnsi="Open Sans" w:cs="Open Sans"/>
              </w:rPr>
              <w:t>Ph.D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</w:t>
            </w:r>
            <w:proofErr w:type="spellStart"/>
            <w:r w:rsidRPr="00FD4308">
              <w:rPr>
                <w:rFonts w:ascii="Open Sans" w:hAnsi="Open Sans" w:cs="Open Sans"/>
              </w:rPr>
              <w:t>degree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at LSMU 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other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Lithuanian 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foreign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universities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 </w:t>
            </w:r>
          </w:p>
        </w:tc>
      </w:tr>
      <w:tr w:rsidR="00426158" w:rsidRPr="00FD4308" w14:paraId="3EE3D1AB" w14:textId="77777777" w:rsidTr="125B2FA5">
        <w:tc>
          <w:tcPr>
            <w:tcW w:w="3325" w:type="dxa"/>
          </w:tcPr>
          <w:p w14:paraId="54CEC26C" w14:textId="40545FD3" w:rsidR="00426158" w:rsidRPr="00FD4308" w:rsidRDefault="00715452">
            <w:pPr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Assessment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results</w:t>
            </w:r>
            <w:proofErr w:type="spellEnd"/>
          </w:p>
        </w:tc>
        <w:tc>
          <w:tcPr>
            <w:tcW w:w="6514" w:type="dxa"/>
          </w:tcPr>
          <w:p w14:paraId="1B058C4B" w14:textId="5C728A8B" w:rsidR="00426158" w:rsidRPr="00FD4308" w:rsidRDefault="00715452" w:rsidP="00715452">
            <w:pPr>
              <w:jc w:val="both"/>
              <w:rPr>
                <w:rFonts w:ascii="Open Sans" w:hAnsi="Open Sans" w:cs="Open Sans"/>
              </w:rPr>
            </w:pP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MVG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 </w:t>
            </w:r>
            <w:proofErr w:type="spellStart"/>
            <w:r w:rsidRPr="00FD4308">
              <w:rPr>
                <w:rFonts w:ascii="Open Sans" w:hAnsi="Open Sans" w:cs="Open Sans"/>
              </w:rPr>
              <w:t>summative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assessment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applied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to </w:t>
            </w:r>
            <w:proofErr w:type="spellStart"/>
            <w:r w:rsidRPr="00FD4308">
              <w:rPr>
                <w:rFonts w:ascii="Open Sans" w:hAnsi="Open Sans" w:cs="Open Sans"/>
              </w:rPr>
              <w:t>assess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MVG </w:t>
            </w:r>
            <w:proofErr w:type="spellStart"/>
            <w:r w:rsidRPr="00FD4308">
              <w:rPr>
                <w:rFonts w:ascii="Open Sans" w:hAnsi="Open Sans" w:cs="Open Sans"/>
              </w:rPr>
              <w:t>student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achievements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modules. The </w:t>
            </w:r>
            <w:proofErr w:type="spellStart"/>
            <w:r w:rsidRPr="00FD4308">
              <w:rPr>
                <w:rFonts w:ascii="Open Sans" w:hAnsi="Open Sans" w:cs="Open Sans"/>
              </w:rPr>
              <w:t>achievements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learning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outcomes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are </w:t>
            </w:r>
            <w:proofErr w:type="spellStart"/>
            <w:r w:rsidRPr="00FD4308">
              <w:rPr>
                <w:rFonts w:ascii="Open Sans" w:hAnsi="Open Sans" w:cs="Open Sans"/>
              </w:rPr>
              <w:t>assessed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grades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obtained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by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passing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exam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after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accumulating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intended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portion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cumulative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grade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>/</w:t>
            </w:r>
            <w:proofErr w:type="spellStart"/>
            <w:r w:rsidRPr="00FD4308">
              <w:rPr>
                <w:rFonts w:ascii="Open Sans" w:hAnsi="Open Sans" w:cs="Open Sans"/>
              </w:rPr>
              <w:t>or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defending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individual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student's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work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</w:t>
            </w:r>
            <w:proofErr w:type="spellStart"/>
            <w:r w:rsidRPr="00FD4308">
              <w:rPr>
                <w:rFonts w:ascii="Open Sans" w:hAnsi="Open Sans" w:cs="Open Sans"/>
              </w:rPr>
              <w:t>project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). The </w:t>
            </w:r>
            <w:proofErr w:type="spellStart"/>
            <w:r w:rsidRPr="00FD4308">
              <w:rPr>
                <w:rFonts w:ascii="Open Sans" w:hAnsi="Open Sans" w:cs="Open Sans"/>
              </w:rPr>
              <w:t>intermediate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assessment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learning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outcomes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 </w:t>
            </w:r>
            <w:proofErr w:type="spellStart"/>
            <w:r w:rsidRPr="00FD4308">
              <w:rPr>
                <w:rFonts w:ascii="Open Sans" w:hAnsi="Open Sans" w:cs="Open Sans"/>
              </w:rPr>
              <w:t>pass</w:t>
            </w:r>
            <w:proofErr w:type="spellEnd"/>
            <w:r w:rsidRPr="00FD4308">
              <w:rPr>
                <w:rFonts w:ascii="Open Sans" w:hAnsi="Open Sans" w:cs="Open Sans"/>
              </w:rPr>
              <w:t>/</w:t>
            </w:r>
            <w:proofErr w:type="spellStart"/>
            <w:r w:rsidRPr="00FD4308">
              <w:rPr>
                <w:rFonts w:ascii="Open Sans" w:hAnsi="Open Sans" w:cs="Open Sans"/>
              </w:rPr>
              <w:t>fail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evaluation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form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The </w:t>
            </w:r>
            <w:proofErr w:type="spellStart"/>
            <w:r w:rsidRPr="00FD4308">
              <w:rPr>
                <w:rFonts w:ascii="Open Sans" w:hAnsi="Open Sans" w:cs="Open Sans"/>
              </w:rPr>
              <w:t>assessment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practical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training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results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also </w:t>
            </w:r>
            <w:proofErr w:type="spellStart"/>
            <w:r w:rsidRPr="00FD4308">
              <w:rPr>
                <w:rFonts w:ascii="Open Sans" w:hAnsi="Open Sans" w:cs="Open Sans"/>
              </w:rPr>
              <w:t>present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The </w:t>
            </w:r>
            <w:proofErr w:type="spellStart"/>
            <w:r w:rsidRPr="00FD4308">
              <w:rPr>
                <w:rFonts w:ascii="Open Sans" w:hAnsi="Open Sans" w:cs="Open Sans"/>
              </w:rPr>
              <w:t>student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achievements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whole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are </w:t>
            </w:r>
            <w:proofErr w:type="spellStart"/>
            <w:r w:rsidRPr="00FD4308">
              <w:rPr>
                <w:rFonts w:ascii="Open Sans" w:hAnsi="Open Sans" w:cs="Open Sans"/>
              </w:rPr>
              <w:t>assessed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after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final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thesis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is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defended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.  The </w:t>
            </w:r>
            <w:proofErr w:type="spellStart"/>
            <w:r w:rsidRPr="00FD4308">
              <w:rPr>
                <w:rFonts w:ascii="Open Sans" w:hAnsi="Open Sans" w:cs="Open Sans"/>
              </w:rPr>
              <w:t>following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assessment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methods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MVG </w:t>
            </w:r>
            <w:proofErr w:type="spellStart"/>
            <w:r w:rsidRPr="00FD4308">
              <w:rPr>
                <w:rFonts w:ascii="Open Sans" w:hAnsi="Open Sans" w:cs="Open Sans"/>
              </w:rPr>
              <w:t>students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are </w:t>
            </w:r>
            <w:proofErr w:type="spellStart"/>
            <w:r w:rsidRPr="00FD4308">
              <w:rPr>
                <w:rFonts w:ascii="Open Sans" w:hAnsi="Open Sans" w:cs="Open Sans"/>
              </w:rPr>
              <w:t>used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: </w:t>
            </w:r>
            <w:proofErr w:type="spellStart"/>
            <w:r w:rsidRPr="00FD4308">
              <w:rPr>
                <w:rFonts w:ascii="Open Sans" w:hAnsi="Open Sans" w:cs="Open Sans"/>
              </w:rPr>
              <w:t>final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examination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completion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assignments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preparing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and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giving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presentations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control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work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quizzes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defense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laboratory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work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colloquiums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exams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tests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individual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projects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etc. 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MVG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programme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,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student's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self-study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takes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not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less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than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30% </w:t>
            </w:r>
            <w:proofErr w:type="spellStart"/>
            <w:r w:rsidRPr="00FD4308">
              <w:rPr>
                <w:rFonts w:ascii="Open Sans" w:hAnsi="Open Sans" w:cs="Open Sans"/>
              </w:rPr>
              <w:t>of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the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study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subject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volume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(</w:t>
            </w:r>
            <w:proofErr w:type="spellStart"/>
            <w:r w:rsidRPr="00FD4308">
              <w:rPr>
                <w:rFonts w:ascii="Open Sans" w:hAnsi="Open Sans" w:cs="Open Sans"/>
              </w:rPr>
              <w:t>in</w:t>
            </w:r>
            <w:proofErr w:type="spellEnd"/>
            <w:r w:rsidRPr="00FD4308">
              <w:rPr>
                <w:rFonts w:ascii="Open Sans" w:hAnsi="Open Sans" w:cs="Open Sans"/>
              </w:rPr>
              <w:t xml:space="preserve"> </w:t>
            </w:r>
            <w:proofErr w:type="spellStart"/>
            <w:r w:rsidRPr="00FD4308">
              <w:rPr>
                <w:rFonts w:ascii="Open Sans" w:hAnsi="Open Sans" w:cs="Open Sans"/>
              </w:rPr>
              <w:t>hours</w:t>
            </w:r>
            <w:proofErr w:type="spellEnd"/>
            <w:r w:rsidRPr="00FD4308">
              <w:rPr>
                <w:rFonts w:ascii="Open Sans" w:hAnsi="Open Sans" w:cs="Open Sans"/>
              </w:rPr>
              <w:t>).</w:t>
            </w:r>
          </w:p>
        </w:tc>
      </w:tr>
      <w:tr w:rsidR="00426158" w:rsidRPr="00F77DF5" w14:paraId="27D02F4B" w14:textId="77777777" w:rsidTr="007F71B4">
        <w:tc>
          <w:tcPr>
            <w:tcW w:w="3325" w:type="dxa"/>
            <w:shd w:val="clear" w:color="auto" w:fill="auto"/>
          </w:tcPr>
          <w:p w14:paraId="4B7AD01F" w14:textId="34D3E42D" w:rsidR="00426158" w:rsidRPr="00C95736" w:rsidRDefault="00270436">
            <w:pPr>
              <w:rPr>
                <w:rFonts w:ascii="Open Sans" w:hAnsi="Open Sans" w:cs="Open Sans"/>
              </w:rPr>
            </w:pPr>
            <w:r w:rsidRPr="00C95736">
              <w:rPr>
                <w:rFonts w:ascii="Open Sans" w:hAnsi="Open Sans" w:cs="Open Sans"/>
              </w:rPr>
              <w:t>MVG</w:t>
            </w:r>
            <w:r w:rsidR="00435668" w:rsidRPr="00C95736">
              <w:rPr>
                <w:rFonts w:ascii="Open Sans" w:hAnsi="Open Sans" w:cs="Open Sans"/>
              </w:rPr>
              <w:t xml:space="preserve"> </w:t>
            </w:r>
            <w:proofErr w:type="spellStart"/>
            <w:r w:rsidR="00435668" w:rsidRPr="00C95736">
              <w:rPr>
                <w:rFonts w:ascii="Open Sans" w:hAnsi="Open Sans" w:cs="Open Sans"/>
              </w:rPr>
              <w:t>study</w:t>
            </w:r>
            <w:proofErr w:type="spellEnd"/>
            <w:r w:rsidR="00435668" w:rsidRPr="00C95736">
              <w:rPr>
                <w:rFonts w:ascii="Open Sans" w:hAnsi="Open Sans" w:cs="Open Sans"/>
              </w:rPr>
              <w:t xml:space="preserve"> </w:t>
            </w:r>
            <w:proofErr w:type="spellStart"/>
            <w:r w:rsidR="00435668" w:rsidRPr="00C95736">
              <w:rPr>
                <w:rFonts w:ascii="Open Sans" w:hAnsi="Open Sans" w:cs="Open Sans"/>
              </w:rPr>
              <w:t>programme</w:t>
            </w:r>
            <w:proofErr w:type="spellEnd"/>
            <w:r w:rsidR="00435668" w:rsidRPr="00C95736">
              <w:rPr>
                <w:rFonts w:ascii="Open Sans" w:hAnsi="Open Sans" w:cs="Open Sans"/>
              </w:rPr>
              <w:t xml:space="preserve"> </w:t>
            </w:r>
            <w:proofErr w:type="spellStart"/>
            <w:r w:rsidR="006330FC" w:rsidRPr="00C95736">
              <w:rPr>
                <w:rFonts w:ascii="Open Sans" w:hAnsi="Open Sans" w:cs="Open Sans"/>
              </w:rPr>
              <w:t>committee</w:t>
            </w:r>
            <w:proofErr w:type="spellEnd"/>
          </w:p>
        </w:tc>
        <w:tc>
          <w:tcPr>
            <w:tcW w:w="6514" w:type="dxa"/>
            <w:shd w:val="clear" w:color="auto" w:fill="FFFFFF" w:themeFill="background1"/>
          </w:tcPr>
          <w:p w14:paraId="0581180D" w14:textId="5B211693" w:rsidR="00E00CDF" w:rsidRPr="00EC2747" w:rsidRDefault="00270436" w:rsidP="00E00CDF">
            <w:pPr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Head</w:t>
            </w:r>
            <w:proofErr w:type="spellEnd"/>
            <w:r w:rsidR="00E00CDF" w:rsidRPr="00EC2747">
              <w:rPr>
                <w:rFonts w:ascii="Open Sans" w:hAnsi="Open Sans" w:cs="Open Sans"/>
                <w:color w:val="000000" w:themeColor="text1"/>
              </w:rPr>
              <w:t xml:space="preserve">:  Rasa Ugenskienė, </w:t>
            </w:r>
            <w:r w:rsidR="003F6198" w:rsidRPr="00EC2747">
              <w:rPr>
                <w:rFonts w:ascii="Open Sans" w:hAnsi="Open Sans" w:cs="Open Sans"/>
                <w:color w:val="000000" w:themeColor="text1"/>
              </w:rPr>
              <w:t>P</w:t>
            </w:r>
            <w:r w:rsidR="00E00CDF" w:rsidRPr="00EC2747">
              <w:rPr>
                <w:rFonts w:ascii="Open Sans" w:hAnsi="Open Sans" w:cs="Open Sans"/>
                <w:color w:val="000000" w:themeColor="text1"/>
              </w:rPr>
              <w:t xml:space="preserve">rof. </w:t>
            </w:r>
            <w:proofErr w:type="spellStart"/>
            <w:r w:rsidR="003F6198" w:rsidRPr="00EC2747">
              <w:rPr>
                <w:rFonts w:ascii="Open Sans" w:hAnsi="Open Sans" w:cs="Open Sans"/>
                <w:color w:val="000000" w:themeColor="text1"/>
              </w:rPr>
              <w:t>Ph.D</w:t>
            </w:r>
            <w:proofErr w:type="spellEnd"/>
            <w:r w:rsidR="003F6198" w:rsidRPr="00EC2747">
              <w:rPr>
                <w:rFonts w:ascii="Open Sans" w:hAnsi="Open Sans" w:cs="Open Sans"/>
                <w:color w:val="000000" w:themeColor="text1"/>
              </w:rPr>
              <w:t xml:space="preserve">. </w:t>
            </w:r>
            <w:r w:rsidR="00E00CDF" w:rsidRPr="00EC2747">
              <w:rPr>
                <w:rFonts w:ascii="Open Sans" w:hAnsi="Open Sans" w:cs="Open Sans"/>
                <w:color w:val="000000" w:themeColor="text1"/>
              </w:rPr>
              <w:t xml:space="preserve">tel. </w:t>
            </w:r>
            <w:r w:rsidR="003F6198" w:rsidRPr="00EC2747">
              <w:rPr>
                <w:rFonts w:ascii="Open Sans" w:hAnsi="Open Sans" w:cs="Open Sans"/>
                <w:color w:val="000000" w:themeColor="text1"/>
                <w:lang w:val="en-US"/>
              </w:rPr>
              <w:t>+370</w:t>
            </w:r>
            <w:r w:rsidR="00E00CDF" w:rsidRPr="00EC2747">
              <w:rPr>
                <w:rFonts w:ascii="Open Sans" w:hAnsi="Open Sans" w:cs="Open Sans"/>
                <w:color w:val="000000" w:themeColor="text1"/>
              </w:rPr>
              <w:t xml:space="preserve">61594003,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email</w:t>
            </w:r>
            <w:proofErr w:type="spellEnd"/>
            <w:r w:rsidR="00E00CDF" w:rsidRPr="00EC2747">
              <w:rPr>
                <w:rFonts w:ascii="Open Sans" w:hAnsi="Open Sans" w:cs="Open Sans"/>
                <w:color w:val="000000" w:themeColor="text1"/>
              </w:rPr>
              <w:t>: rasa.ugenskiene@lsmuni.lt</w:t>
            </w:r>
          </w:p>
          <w:p w14:paraId="23866E91" w14:textId="0732F468" w:rsidR="00E00CDF" w:rsidRPr="00EC2747" w:rsidRDefault="00270436" w:rsidP="00E00CDF">
            <w:pPr>
              <w:rPr>
                <w:rFonts w:ascii="Open Sans" w:hAnsi="Open Sans" w:cs="Open Sans"/>
                <w:color w:val="000000" w:themeColor="text1"/>
              </w:rPr>
            </w:pPr>
            <w:r w:rsidRPr="00EC2747">
              <w:rPr>
                <w:rFonts w:ascii="Open Sans" w:hAnsi="Open Sans" w:cs="Open Sans"/>
                <w:color w:val="000000" w:themeColor="text1"/>
              </w:rPr>
              <w:t>Deputy</w:t>
            </w:r>
            <w:r w:rsidR="00E00CDF" w:rsidRPr="00EC2747">
              <w:rPr>
                <w:rFonts w:ascii="Open Sans" w:hAnsi="Open Sans" w:cs="Open Sans"/>
                <w:color w:val="000000" w:themeColor="text1"/>
              </w:rPr>
              <w:t xml:space="preserve">: Paulina Vaitkienė, </w:t>
            </w:r>
            <w:proofErr w:type="spellStart"/>
            <w:r w:rsidR="00E00CDF" w:rsidRPr="00EC2747">
              <w:rPr>
                <w:rFonts w:ascii="Open Sans" w:hAnsi="Open Sans" w:cs="Open Sans"/>
                <w:color w:val="000000" w:themeColor="text1"/>
              </w:rPr>
              <w:t>l</w:t>
            </w:r>
            <w:r w:rsidR="00DF26D6" w:rsidRPr="00EC2747">
              <w:rPr>
                <w:rFonts w:ascii="Open Sans" w:hAnsi="Open Sans" w:cs="Open Sans"/>
                <w:color w:val="000000" w:themeColor="text1"/>
              </w:rPr>
              <w:t>ect</w:t>
            </w:r>
            <w:proofErr w:type="spellEnd"/>
            <w:r w:rsidR="00DF26D6" w:rsidRPr="00EC2747">
              <w:rPr>
                <w:rFonts w:ascii="Open Sans" w:hAnsi="Open Sans" w:cs="Open Sans"/>
                <w:color w:val="000000" w:themeColor="text1"/>
              </w:rPr>
              <w:t>.</w:t>
            </w:r>
            <w:r w:rsidR="00E00CDF" w:rsidRPr="00EC274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="003F6198" w:rsidRPr="00EC2747">
              <w:rPr>
                <w:rFonts w:ascii="Open Sans" w:hAnsi="Open Sans" w:cs="Open Sans"/>
                <w:color w:val="000000" w:themeColor="text1"/>
              </w:rPr>
              <w:t>Ph.D</w:t>
            </w:r>
            <w:proofErr w:type="spellEnd"/>
            <w:r w:rsidR="00E00CDF" w:rsidRPr="00EC2747">
              <w:rPr>
                <w:rFonts w:ascii="Open Sans" w:hAnsi="Open Sans" w:cs="Open Sans"/>
                <w:color w:val="000000" w:themeColor="text1"/>
              </w:rPr>
              <w:t>.</w:t>
            </w:r>
          </w:p>
          <w:p w14:paraId="4A0F6DCE" w14:textId="5A80B540" w:rsidR="00E00CDF" w:rsidRPr="00EC2747" w:rsidRDefault="00270436" w:rsidP="00E00CDF">
            <w:pPr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Secretary</w:t>
            </w:r>
            <w:proofErr w:type="spellEnd"/>
            <w:r w:rsidR="00E00CDF" w:rsidRPr="00EC2747">
              <w:rPr>
                <w:rFonts w:ascii="Open Sans" w:hAnsi="Open Sans" w:cs="Open Sans"/>
                <w:color w:val="000000" w:themeColor="text1"/>
              </w:rPr>
              <w:t xml:space="preserve">: Gita </w:t>
            </w:r>
            <w:proofErr w:type="spellStart"/>
            <w:r w:rsidR="00E00CDF" w:rsidRPr="00EC2747">
              <w:rPr>
                <w:rFonts w:ascii="Open Sans" w:hAnsi="Open Sans" w:cs="Open Sans"/>
                <w:color w:val="000000" w:themeColor="text1"/>
              </w:rPr>
              <w:t>Lašienė</w:t>
            </w:r>
            <w:proofErr w:type="spellEnd"/>
          </w:p>
          <w:p w14:paraId="520B413F" w14:textId="53C89C7B" w:rsidR="00E00CDF" w:rsidRPr="00EC2747" w:rsidRDefault="00270436" w:rsidP="00E00CDF">
            <w:pPr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Members</w:t>
            </w:r>
            <w:proofErr w:type="spellEnd"/>
            <w:r w:rsidR="00E00CDF" w:rsidRPr="00EC2747">
              <w:rPr>
                <w:rFonts w:ascii="Open Sans" w:hAnsi="Open Sans" w:cs="Open Sans"/>
                <w:color w:val="000000" w:themeColor="text1"/>
              </w:rPr>
              <w:t xml:space="preserve">: Algimantas Kriščiukaitis, </w:t>
            </w:r>
            <w:r w:rsidR="003F6198" w:rsidRPr="00EC2747">
              <w:rPr>
                <w:rFonts w:ascii="Open Sans" w:hAnsi="Open Sans" w:cs="Open Sans"/>
                <w:color w:val="000000" w:themeColor="text1"/>
              </w:rPr>
              <w:t>P</w:t>
            </w:r>
            <w:r w:rsidR="00E00CDF" w:rsidRPr="00EC2747">
              <w:rPr>
                <w:rFonts w:ascii="Open Sans" w:hAnsi="Open Sans" w:cs="Open Sans"/>
                <w:color w:val="000000" w:themeColor="text1"/>
              </w:rPr>
              <w:t xml:space="preserve">rof.  </w:t>
            </w:r>
            <w:proofErr w:type="spellStart"/>
            <w:r w:rsidR="003F6198" w:rsidRPr="00EC2747">
              <w:rPr>
                <w:rFonts w:ascii="Open Sans" w:hAnsi="Open Sans" w:cs="Open Sans"/>
                <w:color w:val="000000" w:themeColor="text1"/>
              </w:rPr>
              <w:t>Ph.D</w:t>
            </w:r>
            <w:proofErr w:type="spellEnd"/>
            <w:r w:rsidR="003F6198" w:rsidRPr="00EC2747">
              <w:rPr>
                <w:rFonts w:ascii="Open Sans" w:hAnsi="Open Sans" w:cs="Open Sans"/>
                <w:color w:val="000000" w:themeColor="text1"/>
              </w:rPr>
              <w:t>.</w:t>
            </w:r>
          </w:p>
          <w:p w14:paraId="7A4459E9" w14:textId="75EBEA94" w:rsidR="00E00CDF" w:rsidRPr="00EC2747" w:rsidRDefault="00E00CDF" w:rsidP="00E00CDF">
            <w:pPr>
              <w:rPr>
                <w:rFonts w:ascii="Open Sans" w:hAnsi="Open Sans" w:cs="Open Sans"/>
                <w:color w:val="000000" w:themeColor="text1"/>
              </w:rPr>
            </w:pPr>
            <w:r w:rsidRPr="00EC2747">
              <w:rPr>
                <w:rFonts w:ascii="Open Sans" w:hAnsi="Open Sans" w:cs="Open Sans"/>
                <w:color w:val="000000" w:themeColor="text1"/>
              </w:rPr>
              <w:t xml:space="preserve">Rasa Bernotienė,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le</w:t>
            </w:r>
            <w:r w:rsidR="00270436" w:rsidRPr="00EC2747">
              <w:rPr>
                <w:rFonts w:ascii="Open Sans" w:hAnsi="Open Sans" w:cs="Open Sans"/>
                <w:color w:val="000000" w:themeColor="text1"/>
              </w:rPr>
              <w:t>c</w:t>
            </w:r>
            <w:r w:rsidRPr="00EC2747">
              <w:rPr>
                <w:rFonts w:ascii="Open Sans" w:hAnsi="Open Sans" w:cs="Open Sans"/>
                <w:color w:val="000000" w:themeColor="text1"/>
              </w:rPr>
              <w:t>t</w:t>
            </w:r>
            <w:proofErr w:type="spellEnd"/>
            <w:r w:rsidR="00DF26D6" w:rsidRPr="00EC2747">
              <w:rPr>
                <w:rFonts w:ascii="Open Sans" w:hAnsi="Open Sans" w:cs="Open Sans"/>
                <w:color w:val="000000" w:themeColor="text1"/>
              </w:rPr>
              <w:t>.</w:t>
            </w:r>
            <w:r w:rsidRPr="00EC274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="003F6198" w:rsidRPr="00EC2747">
              <w:rPr>
                <w:rFonts w:ascii="Open Sans" w:hAnsi="Open Sans" w:cs="Open Sans"/>
                <w:color w:val="000000" w:themeColor="text1"/>
              </w:rPr>
              <w:t>Ph.D</w:t>
            </w:r>
            <w:proofErr w:type="spellEnd"/>
            <w:r w:rsidR="003F6198" w:rsidRPr="00EC2747">
              <w:rPr>
                <w:rFonts w:ascii="Open Sans" w:hAnsi="Open Sans" w:cs="Open Sans"/>
                <w:color w:val="000000" w:themeColor="text1"/>
              </w:rPr>
              <w:t>.</w:t>
            </w:r>
          </w:p>
          <w:p w14:paraId="7500B5F4" w14:textId="08BDC22C" w:rsidR="00E00CDF" w:rsidRPr="00EC2747" w:rsidRDefault="00E00CDF" w:rsidP="00E00CDF">
            <w:pPr>
              <w:rPr>
                <w:rFonts w:ascii="Open Sans" w:hAnsi="Open Sans" w:cs="Open Sans"/>
                <w:color w:val="000000" w:themeColor="text1"/>
              </w:rPr>
            </w:pPr>
            <w:r w:rsidRPr="00EC2747">
              <w:rPr>
                <w:rFonts w:ascii="Open Sans" w:hAnsi="Open Sans" w:cs="Open Sans"/>
                <w:color w:val="000000" w:themeColor="text1"/>
              </w:rPr>
              <w:t xml:space="preserve">Ramutė Mišeikienė,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le</w:t>
            </w:r>
            <w:r w:rsidR="00270436" w:rsidRPr="00EC2747">
              <w:rPr>
                <w:rFonts w:ascii="Open Sans" w:hAnsi="Open Sans" w:cs="Open Sans"/>
                <w:color w:val="000000" w:themeColor="text1"/>
              </w:rPr>
              <w:t>ct</w:t>
            </w:r>
            <w:proofErr w:type="spellEnd"/>
            <w:r w:rsidR="00DF26D6" w:rsidRPr="00EC2747">
              <w:rPr>
                <w:rFonts w:ascii="Open Sans" w:hAnsi="Open Sans" w:cs="Open Sans"/>
                <w:color w:val="000000" w:themeColor="text1"/>
              </w:rPr>
              <w:t>.</w:t>
            </w:r>
            <w:r w:rsidRPr="00EC274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="003F6198" w:rsidRPr="00EC2747">
              <w:rPr>
                <w:rFonts w:ascii="Open Sans" w:hAnsi="Open Sans" w:cs="Open Sans"/>
                <w:color w:val="000000" w:themeColor="text1"/>
              </w:rPr>
              <w:t>Ph.D</w:t>
            </w:r>
            <w:proofErr w:type="spellEnd"/>
            <w:r w:rsidR="003F6198" w:rsidRPr="00EC2747">
              <w:rPr>
                <w:rFonts w:ascii="Open Sans" w:hAnsi="Open Sans" w:cs="Open Sans"/>
                <w:color w:val="000000" w:themeColor="text1"/>
              </w:rPr>
              <w:t>.</w:t>
            </w:r>
          </w:p>
          <w:p w14:paraId="46AC328E" w14:textId="7F6EE913" w:rsidR="00E00CDF" w:rsidRPr="00EC2747" w:rsidRDefault="00E00CDF" w:rsidP="00E00CDF">
            <w:pPr>
              <w:rPr>
                <w:rFonts w:ascii="Open Sans" w:hAnsi="Open Sans" w:cs="Open Sans"/>
                <w:color w:val="000000" w:themeColor="text1"/>
              </w:rPr>
            </w:pPr>
            <w:r w:rsidRPr="00EC2747">
              <w:rPr>
                <w:rFonts w:ascii="Open Sans" w:hAnsi="Open Sans" w:cs="Open Sans"/>
                <w:color w:val="000000" w:themeColor="text1"/>
              </w:rPr>
              <w:t xml:space="preserve">Renata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Bižienė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l</w:t>
            </w:r>
            <w:r w:rsidR="00270436" w:rsidRPr="00EC2747">
              <w:rPr>
                <w:rFonts w:ascii="Open Sans" w:hAnsi="Open Sans" w:cs="Open Sans"/>
                <w:color w:val="000000" w:themeColor="text1"/>
              </w:rPr>
              <w:t>ect</w:t>
            </w:r>
            <w:proofErr w:type="spellEnd"/>
            <w:r w:rsidR="00DF26D6" w:rsidRPr="00EC2747">
              <w:rPr>
                <w:rFonts w:ascii="Open Sans" w:hAnsi="Open Sans" w:cs="Open Sans"/>
                <w:color w:val="000000" w:themeColor="text1"/>
              </w:rPr>
              <w:t>.</w:t>
            </w:r>
            <w:r w:rsidRPr="00EC274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="003F6198" w:rsidRPr="00EC2747">
              <w:rPr>
                <w:rFonts w:ascii="Open Sans" w:hAnsi="Open Sans" w:cs="Open Sans"/>
                <w:color w:val="000000" w:themeColor="text1"/>
              </w:rPr>
              <w:t>Ph.D</w:t>
            </w:r>
            <w:proofErr w:type="spellEnd"/>
            <w:r w:rsidR="003F6198" w:rsidRPr="00EC2747">
              <w:rPr>
                <w:rFonts w:ascii="Open Sans" w:hAnsi="Open Sans" w:cs="Open Sans"/>
                <w:color w:val="000000" w:themeColor="text1"/>
              </w:rPr>
              <w:t>.</w:t>
            </w:r>
          </w:p>
          <w:p w14:paraId="7607696D" w14:textId="0E7C4214" w:rsidR="00E00CDF" w:rsidRPr="00EC2747" w:rsidRDefault="00E00CDF" w:rsidP="00E00CDF">
            <w:pPr>
              <w:rPr>
                <w:rFonts w:ascii="Open Sans" w:hAnsi="Open Sans" w:cs="Open Sans"/>
                <w:color w:val="000000" w:themeColor="text1"/>
              </w:rPr>
            </w:pPr>
            <w:r w:rsidRPr="00EC2747">
              <w:rPr>
                <w:rFonts w:ascii="Open Sans" w:hAnsi="Open Sans" w:cs="Open Sans"/>
                <w:color w:val="000000" w:themeColor="text1"/>
              </w:rPr>
              <w:t xml:space="preserve">Kristina Morkūnienė,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le</w:t>
            </w:r>
            <w:r w:rsidR="00270436" w:rsidRPr="00EC2747">
              <w:rPr>
                <w:rFonts w:ascii="Open Sans" w:hAnsi="Open Sans" w:cs="Open Sans"/>
                <w:color w:val="000000" w:themeColor="text1"/>
              </w:rPr>
              <w:t>ct</w:t>
            </w:r>
            <w:proofErr w:type="spellEnd"/>
            <w:r w:rsidR="00DF26D6" w:rsidRPr="00EC2747">
              <w:rPr>
                <w:rFonts w:ascii="Open Sans" w:hAnsi="Open Sans" w:cs="Open Sans"/>
                <w:color w:val="000000" w:themeColor="text1"/>
              </w:rPr>
              <w:t>.</w:t>
            </w:r>
            <w:r w:rsidRPr="00EC274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="003F6198" w:rsidRPr="00EC2747">
              <w:rPr>
                <w:rFonts w:ascii="Open Sans" w:hAnsi="Open Sans" w:cs="Open Sans"/>
                <w:color w:val="000000" w:themeColor="text1"/>
              </w:rPr>
              <w:t>Ph.D</w:t>
            </w:r>
            <w:proofErr w:type="spellEnd"/>
            <w:r w:rsidR="003F6198" w:rsidRPr="00EC2747">
              <w:rPr>
                <w:rFonts w:ascii="Open Sans" w:hAnsi="Open Sans" w:cs="Open Sans"/>
                <w:color w:val="000000" w:themeColor="text1"/>
              </w:rPr>
              <w:t>.</w:t>
            </w:r>
          </w:p>
          <w:p w14:paraId="4AF8B9F2" w14:textId="0D937D4B" w:rsidR="00E00CDF" w:rsidRPr="00EC2747" w:rsidRDefault="00E00CDF" w:rsidP="00E00CDF">
            <w:pPr>
              <w:rPr>
                <w:rFonts w:ascii="Open Sans" w:hAnsi="Open Sans" w:cs="Open Sans"/>
                <w:color w:val="000000" w:themeColor="text1"/>
              </w:rPr>
            </w:pPr>
            <w:r w:rsidRPr="00EC2747">
              <w:rPr>
                <w:rFonts w:ascii="Open Sans" w:hAnsi="Open Sans" w:cs="Open Sans"/>
                <w:color w:val="000000" w:themeColor="text1"/>
              </w:rPr>
              <w:t xml:space="preserve">Rūta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Insodaitė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as</w:t>
            </w:r>
            <w:r w:rsidR="00270436" w:rsidRPr="00EC2747">
              <w:rPr>
                <w:rFonts w:ascii="Open Sans" w:hAnsi="Open Sans" w:cs="Open Sans"/>
                <w:color w:val="000000" w:themeColor="text1"/>
              </w:rPr>
              <w:t>sistant</w:t>
            </w:r>
            <w:proofErr w:type="spellEnd"/>
          </w:p>
          <w:p w14:paraId="4C1C1D0D" w14:textId="3C7A683E" w:rsidR="00E00CDF" w:rsidRPr="00EC2747" w:rsidRDefault="00E00CDF" w:rsidP="0017588F">
            <w:pPr>
              <w:rPr>
                <w:rFonts w:ascii="Open Sans" w:hAnsi="Open Sans" w:cs="Open Sans"/>
                <w:color w:val="000000" w:themeColor="text1"/>
              </w:rPr>
            </w:pPr>
            <w:r w:rsidRPr="00EC2747">
              <w:rPr>
                <w:rFonts w:ascii="Open Sans" w:hAnsi="Open Sans" w:cs="Open Sans"/>
                <w:color w:val="000000" w:themeColor="text1"/>
              </w:rPr>
              <w:t xml:space="preserve">Kamilė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</w:rPr>
              <w:t>Račkelytė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="00270436" w:rsidRPr="00EC2747">
              <w:rPr>
                <w:rFonts w:ascii="Open Sans" w:hAnsi="Open Sans" w:cs="Open Sans"/>
                <w:color w:val="000000" w:themeColor="text1"/>
              </w:rPr>
              <w:t>Delegated</w:t>
            </w:r>
            <w:proofErr w:type="spellEnd"/>
            <w:r w:rsidR="00270436" w:rsidRPr="00EC274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="00270436" w:rsidRPr="00EC2747">
              <w:rPr>
                <w:rFonts w:ascii="Open Sans" w:hAnsi="Open Sans" w:cs="Open Sans"/>
                <w:color w:val="000000" w:themeColor="text1"/>
              </w:rPr>
              <w:t>Member</w:t>
            </w:r>
            <w:proofErr w:type="spellEnd"/>
            <w:r w:rsidR="00270436" w:rsidRPr="00EC274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="00270436" w:rsidRPr="00EC2747">
              <w:rPr>
                <w:rFonts w:ascii="Open Sans" w:hAnsi="Open Sans" w:cs="Open Sans"/>
                <w:color w:val="000000" w:themeColor="text1"/>
              </w:rPr>
              <w:t>of</w:t>
            </w:r>
            <w:proofErr w:type="spellEnd"/>
            <w:r w:rsidR="00270436" w:rsidRPr="00EC274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="00270436" w:rsidRPr="00EC2747">
              <w:rPr>
                <w:rFonts w:ascii="Open Sans" w:hAnsi="Open Sans" w:cs="Open Sans"/>
                <w:color w:val="000000" w:themeColor="text1"/>
              </w:rPr>
              <w:t>the</w:t>
            </w:r>
            <w:proofErr w:type="spellEnd"/>
            <w:r w:rsidR="00270436" w:rsidRPr="00EC2747">
              <w:rPr>
                <w:rFonts w:ascii="Open Sans" w:hAnsi="Open Sans" w:cs="Open Sans"/>
                <w:color w:val="000000" w:themeColor="text1"/>
              </w:rPr>
              <w:t xml:space="preserve"> LSMU </w:t>
            </w:r>
            <w:proofErr w:type="spellStart"/>
            <w:r w:rsidR="00270436" w:rsidRPr="00EC2747">
              <w:rPr>
                <w:rFonts w:ascii="Open Sans" w:hAnsi="Open Sans" w:cs="Open Sans"/>
                <w:color w:val="000000" w:themeColor="text1"/>
              </w:rPr>
              <w:t>Student</w:t>
            </w:r>
            <w:proofErr w:type="spellEnd"/>
            <w:r w:rsidR="00270436" w:rsidRPr="00EC274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="00270436" w:rsidRPr="00EC2747">
              <w:rPr>
                <w:rFonts w:ascii="Open Sans" w:hAnsi="Open Sans" w:cs="Open Sans"/>
                <w:color w:val="000000" w:themeColor="text1"/>
              </w:rPr>
              <w:t>Union</w:t>
            </w:r>
            <w:proofErr w:type="spellEnd"/>
          </w:p>
          <w:p w14:paraId="3EFDDD9A" w14:textId="61DA05D8" w:rsidR="00EC2747" w:rsidRPr="00EC2747" w:rsidRDefault="00EC2747" w:rsidP="0017588F">
            <w:pPr>
              <w:rPr>
                <w:rFonts w:ascii="Open Sans" w:hAnsi="Open Sans" w:cs="Open Sans"/>
                <w:color w:val="000000" w:themeColor="text1"/>
              </w:rPr>
            </w:pPr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 xml:space="preserve">Giedrė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Šinkūnaitė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 xml:space="preserve"> –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Maršalkienė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 xml:space="preserve">,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Ph.D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 xml:space="preserve">.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Social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Partner</w:t>
            </w:r>
            <w:proofErr w:type="spellEnd"/>
          </w:p>
          <w:p w14:paraId="418F0C1B" w14:textId="2B8B66EB" w:rsidR="00426158" w:rsidRPr="00EC2747" w:rsidRDefault="00EC2747" w:rsidP="00EC2747">
            <w:pPr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Representative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 xml:space="preserve"> (UAB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Thermo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Fisher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Scientific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Baltics</w:t>
            </w:r>
            <w:proofErr w:type="spellEnd"/>
            <w:r w:rsidRPr="00EC2747">
              <w:rPr>
                <w:rFonts w:ascii="Open Sans" w:hAnsi="Open Sans" w:cs="Open Sans"/>
                <w:color w:val="000000" w:themeColor="text1"/>
                <w:shd w:val="clear" w:color="auto" w:fill="FFFFFF" w:themeFill="background1"/>
              </w:rPr>
              <w:t>).</w:t>
            </w:r>
          </w:p>
        </w:tc>
      </w:tr>
    </w:tbl>
    <w:p w14:paraId="5BA08C11" w14:textId="77777777" w:rsidR="00562E8E" w:rsidRPr="00FD4308" w:rsidRDefault="00562E8E" w:rsidP="00074FA6">
      <w:pPr>
        <w:rPr>
          <w:rFonts w:ascii="Open Sans" w:hAnsi="Open Sans" w:cs="Open Sans"/>
        </w:rPr>
      </w:pPr>
    </w:p>
    <w:sectPr w:rsidR="00562E8E" w:rsidRPr="00FD4308" w:rsidSect="00DF2F0A">
      <w:headerReference w:type="default" r:id="rId9"/>
      <w:pgSz w:w="11906" w:h="16838"/>
      <w:pgMar w:top="864" w:right="922" w:bottom="1138" w:left="1080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074B" w14:textId="77777777" w:rsidR="00A54DE3" w:rsidRDefault="00A54DE3" w:rsidP="00EE4694">
      <w:pPr>
        <w:spacing w:after="0" w:line="240" w:lineRule="auto"/>
      </w:pPr>
      <w:r>
        <w:separator/>
      </w:r>
    </w:p>
  </w:endnote>
  <w:endnote w:type="continuationSeparator" w:id="0">
    <w:p w14:paraId="0C3751FB" w14:textId="77777777" w:rsidR="00A54DE3" w:rsidRDefault="00A54DE3" w:rsidP="00EE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043C" w14:textId="77777777" w:rsidR="00A54DE3" w:rsidRDefault="00A54DE3" w:rsidP="00EE4694">
      <w:pPr>
        <w:spacing w:after="0" w:line="240" w:lineRule="auto"/>
      </w:pPr>
      <w:r>
        <w:separator/>
      </w:r>
    </w:p>
  </w:footnote>
  <w:footnote w:type="continuationSeparator" w:id="0">
    <w:p w14:paraId="678E8206" w14:textId="77777777" w:rsidR="00A54DE3" w:rsidRDefault="00A54DE3" w:rsidP="00EE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1039" w14:textId="77777777" w:rsidR="00EE4694" w:rsidRDefault="00EE4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D"/>
    <w:rsid w:val="000239A2"/>
    <w:rsid w:val="00041119"/>
    <w:rsid w:val="00074FA6"/>
    <w:rsid w:val="000F55B0"/>
    <w:rsid w:val="001523B0"/>
    <w:rsid w:val="0017588F"/>
    <w:rsid w:val="001F489C"/>
    <w:rsid w:val="00270436"/>
    <w:rsid w:val="00276C1B"/>
    <w:rsid w:val="00337469"/>
    <w:rsid w:val="00345620"/>
    <w:rsid w:val="00366F2D"/>
    <w:rsid w:val="003F6198"/>
    <w:rsid w:val="00426158"/>
    <w:rsid w:val="00435668"/>
    <w:rsid w:val="0049483B"/>
    <w:rsid w:val="00562E8E"/>
    <w:rsid w:val="0056634F"/>
    <w:rsid w:val="005B0AF8"/>
    <w:rsid w:val="005D4F27"/>
    <w:rsid w:val="006330FC"/>
    <w:rsid w:val="00660204"/>
    <w:rsid w:val="00667EAB"/>
    <w:rsid w:val="006A640B"/>
    <w:rsid w:val="006E5993"/>
    <w:rsid w:val="00715452"/>
    <w:rsid w:val="00727079"/>
    <w:rsid w:val="00756B06"/>
    <w:rsid w:val="007A7778"/>
    <w:rsid w:val="007B4786"/>
    <w:rsid w:val="007F71B4"/>
    <w:rsid w:val="00856250"/>
    <w:rsid w:val="008F6D80"/>
    <w:rsid w:val="0090760C"/>
    <w:rsid w:val="0093730D"/>
    <w:rsid w:val="0094790F"/>
    <w:rsid w:val="00965D43"/>
    <w:rsid w:val="00972F1C"/>
    <w:rsid w:val="00A4001D"/>
    <w:rsid w:val="00A54DE3"/>
    <w:rsid w:val="00AC6FF8"/>
    <w:rsid w:val="00BB237C"/>
    <w:rsid w:val="00C53C2B"/>
    <w:rsid w:val="00C95736"/>
    <w:rsid w:val="00DE4AE7"/>
    <w:rsid w:val="00DF26D6"/>
    <w:rsid w:val="00DF2F0A"/>
    <w:rsid w:val="00E00CDF"/>
    <w:rsid w:val="00E07801"/>
    <w:rsid w:val="00E144F7"/>
    <w:rsid w:val="00E31B09"/>
    <w:rsid w:val="00E41382"/>
    <w:rsid w:val="00EC1DEE"/>
    <w:rsid w:val="00EC2747"/>
    <w:rsid w:val="00EE4694"/>
    <w:rsid w:val="00F363C4"/>
    <w:rsid w:val="00F37DF3"/>
    <w:rsid w:val="00F77DF5"/>
    <w:rsid w:val="00FD4308"/>
    <w:rsid w:val="00FD7675"/>
    <w:rsid w:val="125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EA44"/>
  <w15:chartTrackingRefBased/>
  <w15:docId w15:val="{9AE5EA4D-3E08-4A18-B219-4028414A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1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94"/>
  </w:style>
  <w:style w:type="paragraph" w:styleId="Footer">
    <w:name w:val="footer"/>
    <w:basedOn w:val="Normal"/>
    <w:link w:val="FooterChar"/>
    <w:uiPriority w:val="99"/>
    <w:unhideWhenUsed/>
    <w:rsid w:val="00EE4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94"/>
  </w:style>
  <w:style w:type="character" w:styleId="Hyperlink">
    <w:name w:val="Hyperlink"/>
    <w:uiPriority w:val="99"/>
    <w:unhideWhenUsed/>
    <w:rsid w:val="009076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mu.lt/wp-content/uploads/2022/12/Study-results-of-the-MVG-programme-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493D-4656-489F-9EF7-84E1D0C2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4595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Miliušienė</dc:creator>
  <cp:keywords/>
  <dc:description/>
  <cp:lastModifiedBy>Miglė Smaidžiūnaitė</cp:lastModifiedBy>
  <cp:revision>27</cp:revision>
  <cp:lastPrinted>2022-11-16T12:00:00Z</cp:lastPrinted>
  <dcterms:created xsi:type="dcterms:W3CDTF">2022-12-06T18:41:00Z</dcterms:created>
  <dcterms:modified xsi:type="dcterms:W3CDTF">2022-12-19T09:28:00Z</dcterms:modified>
</cp:coreProperties>
</file>