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552A8" w14:textId="5D73EFC4" w:rsidR="00004C5E" w:rsidRPr="001007F0" w:rsidRDefault="00E350B7" w:rsidP="001007F0">
      <w:pPr>
        <w:ind w:left="9720"/>
        <w:rPr>
          <w:rFonts w:asciiTheme="minorHAnsi" w:hAnsiTheme="minorHAnsi" w:cstheme="minorHAnsi"/>
          <w:sz w:val="24"/>
          <w:szCs w:val="24"/>
        </w:rPr>
      </w:pPr>
      <w:r w:rsidRPr="001007F0">
        <w:rPr>
          <w:rFonts w:asciiTheme="minorHAnsi" w:hAnsiTheme="minorHAnsi" w:cstheme="minorHAnsi"/>
          <w:sz w:val="24"/>
          <w:szCs w:val="24"/>
        </w:rPr>
        <w:t>CONFIRMED</w:t>
      </w:r>
    </w:p>
    <w:p w14:paraId="08FE1505" w14:textId="3D333E1F" w:rsidR="00E350B7" w:rsidRPr="001007F0" w:rsidRDefault="00E350B7" w:rsidP="001007F0">
      <w:pPr>
        <w:ind w:left="9720"/>
        <w:rPr>
          <w:rFonts w:asciiTheme="minorHAnsi" w:hAnsiTheme="minorHAnsi" w:cstheme="minorHAnsi"/>
          <w:sz w:val="24"/>
          <w:szCs w:val="24"/>
        </w:rPr>
      </w:pPr>
      <w:r w:rsidRPr="001007F0">
        <w:rPr>
          <w:rFonts w:asciiTheme="minorHAnsi" w:hAnsiTheme="minorHAnsi" w:cstheme="minorHAnsi"/>
          <w:sz w:val="24"/>
          <w:szCs w:val="24"/>
        </w:rPr>
        <w:t>By the Minister of Education</w:t>
      </w:r>
      <w:r w:rsidR="00003E7A" w:rsidRPr="001007F0">
        <w:rPr>
          <w:rFonts w:asciiTheme="minorHAnsi" w:hAnsiTheme="minorHAnsi" w:cstheme="minorHAnsi"/>
          <w:sz w:val="24"/>
          <w:szCs w:val="24"/>
        </w:rPr>
        <w:t>,</w:t>
      </w:r>
      <w:r w:rsidRPr="001007F0">
        <w:rPr>
          <w:rFonts w:asciiTheme="minorHAnsi" w:hAnsiTheme="minorHAnsi" w:cstheme="minorHAnsi"/>
          <w:sz w:val="24"/>
          <w:szCs w:val="24"/>
        </w:rPr>
        <w:t xml:space="preserve"> </w:t>
      </w:r>
      <w:r w:rsidR="008C5E98" w:rsidRPr="001007F0">
        <w:rPr>
          <w:rFonts w:asciiTheme="minorHAnsi" w:hAnsiTheme="minorHAnsi" w:cstheme="minorHAnsi"/>
          <w:sz w:val="24"/>
          <w:szCs w:val="24"/>
        </w:rPr>
        <w:t>S</w:t>
      </w:r>
      <w:r w:rsidRPr="001007F0">
        <w:rPr>
          <w:rFonts w:asciiTheme="minorHAnsi" w:hAnsiTheme="minorHAnsi" w:cstheme="minorHAnsi"/>
          <w:sz w:val="24"/>
          <w:szCs w:val="24"/>
        </w:rPr>
        <w:t>cience</w:t>
      </w:r>
      <w:r w:rsidR="00003E7A" w:rsidRPr="001007F0">
        <w:rPr>
          <w:rFonts w:asciiTheme="minorHAnsi" w:hAnsiTheme="minorHAnsi" w:cstheme="minorHAnsi"/>
          <w:sz w:val="24"/>
          <w:szCs w:val="24"/>
        </w:rPr>
        <w:t xml:space="preserve"> and Sport</w:t>
      </w:r>
      <w:r w:rsidRPr="001007F0">
        <w:rPr>
          <w:rFonts w:asciiTheme="minorHAnsi" w:hAnsiTheme="minorHAnsi" w:cstheme="minorHAnsi"/>
          <w:sz w:val="24"/>
          <w:szCs w:val="24"/>
        </w:rPr>
        <w:t xml:space="preserve"> of the Republic of Lithuania</w:t>
      </w:r>
    </w:p>
    <w:p w14:paraId="7130C70E" w14:textId="507C823A" w:rsidR="00004C5E" w:rsidRPr="001007F0" w:rsidRDefault="00E350B7" w:rsidP="001007F0">
      <w:pPr>
        <w:ind w:left="9720"/>
        <w:rPr>
          <w:rFonts w:asciiTheme="minorHAnsi" w:hAnsiTheme="minorHAnsi" w:cstheme="minorHAnsi"/>
          <w:sz w:val="24"/>
          <w:szCs w:val="24"/>
        </w:rPr>
      </w:pPr>
      <w:r w:rsidRPr="00271803">
        <w:rPr>
          <w:rFonts w:asciiTheme="minorHAnsi" w:hAnsiTheme="minorHAnsi" w:cstheme="minorHAnsi"/>
          <w:sz w:val="24"/>
          <w:szCs w:val="24"/>
        </w:rPr>
        <w:t>(</w:t>
      </w:r>
      <w:r w:rsidR="00271803" w:rsidRPr="00271803">
        <w:rPr>
          <w:rFonts w:asciiTheme="minorHAnsi" w:hAnsiTheme="minorHAnsi" w:cstheme="minorHAnsi"/>
          <w:sz w:val="24"/>
          <w:szCs w:val="24"/>
        </w:rPr>
        <w:t>22 January 2026</w:t>
      </w:r>
      <w:r w:rsidRPr="00271803">
        <w:rPr>
          <w:rFonts w:asciiTheme="minorHAnsi" w:hAnsiTheme="minorHAnsi" w:cstheme="minorHAnsi"/>
          <w:sz w:val="24"/>
          <w:szCs w:val="24"/>
        </w:rPr>
        <w:t xml:space="preserve">, </w:t>
      </w:r>
      <w:r w:rsidR="00A73397" w:rsidRPr="00271803">
        <w:rPr>
          <w:rFonts w:asciiTheme="minorHAnsi" w:hAnsiTheme="minorHAnsi" w:cstheme="minorHAnsi"/>
          <w:sz w:val="24"/>
          <w:szCs w:val="24"/>
        </w:rPr>
        <w:t>Order</w:t>
      </w:r>
      <w:r w:rsidRPr="00271803">
        <w:rPr>
          <w:rFonts w:asciiTheme="minorHAnsi" w:hAnsiTheme="minorHAnsi" w:cstheme="minorHAnsi"/>
          <w:sz w:val="24"/>
          <w:szCs w:val="24"/>
        </w:rPr>
        <w:t xml:space="preserve"> No</w:t>
      </w:r>
      <w:r w:rsidR="00C162B1" w:rsidRPr="00271803">
        <w:rPr>
          <w:rFonts w:asciiTheme="minorHAnsi" w:hAnsiTheme="minorHAnsi" w:cstheme="minorHAnsi"/>
          <w:sz w:val="24"/>
          <w:szCs w:val="24"/>
        </w:rPr>
        <w:t>.</w:t>
      </w:r>
      <w:r w:rsidR="00B00BAF" w:rsidRPr="00271803">
        <w:rPr>
          <w:rFonts w:asciiTheme="minorHAnsi" w:hAnsiTheme="minorHAnsi" w:cstheme="minorHAnsi"/>
          <w:sz w:val="24"/>
          <w:szCs w:val="24"/>
        </w:rPr>
        <w:t xml:space="preserve"> </w:t>
      </w:r>
      <w:r w:rsidR="00AA1DFF" w:rsidRPr="00271803">
        <w:rPr>
          <w:rFonts w:asciiTheme="minorHAnsi" w:hAnsiTheme="minorHAnsi" w:cstheme="minorHAnsi"/>
          <w:sz w:val="24"/>
          <w:szCs w:val="24"/>
        </w:rPr>
        <w:t>V-</w:t>
      </w:r>
      <w:r w:rsidR="00271803" w:rsidRPr="00271803">
        <w:rPr>
          <w:rFonts w:asciiTheme="minorHAnsi" w:hAnsiTheme="minorHAnsi" w:cstheme="minorHAnsi"/>
          <w:sz w:val="24"/>
          <w:szCs w:val="24"/>
        </w:rPr>
        <w:t>48</w:t>
      </w:r>
      <w:r w:rsidRPr="00271803">
        <w:rPr>
          <w:rFonts w:asciiTheme="minorHAnsi" w:hAnsiTheme="minorHAnsi" w:cstheme="minorHAnsi"/>
          <w:sz w:val="24"/>
          <w:szCs w:val="24"/>
        </w:rPr>
        <w:t>)</w:t>
      </w:r>
      <w:r w:rsidR="00C162B1" w:rsidRPr="001007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514920" w14:textId="77777777" w:rsidR="00004C5E" w:rsidRPr="001007F0" w:rsidRDefault="00004C5E" w:rsidP="001007F0">
      <w:pPr>
        <w:ind w:left="6235"/>
        <w:rPr>
          <w:rFonts w:asciiTheme="minorHAnsi" w:hAnsiTheme="minorHAnsi" w:cstheme="minorHAnsi"/>
          <w:sz w:val="16"/>
          <w:szCs w:val="16"/>
        </w:rPr>
      </w:pPr>
    </w:p>
    <w:p w14:paraId="1B0B55C2" w14:textId="77777777" w:rsidR="00971A56" w:rsidRPr="001007F0" w:rsidRDefault="00971A56" w:rsidP="001007F0">
      <w:pPr>
        <w:rPr>
          <w:rFonts w:asciiTheme="minorHAnsi" w:hAnsiTheme="minorHAnsi" w:cstheme="minorHAnsi"/>
          <w:b/>
          <w:sz w:val="28"/>
          <w:szCs w:val="28"/>
        </w:rPr>
      </w:pPr>
    </w:p>
    <w:p w14:paraId="046F3B67" w14:textId="6CD3A65B" w:rsidR="00004C5E" w:rsidRPr="001007F0" w:rsidRDefault="00AE7AF7" w:rsidP="001007F0">
      <w:pPr>
        <w:rPr>
          <w:rFonts w:asciiTheme="minorHAnsi" w:hAnsiTheme="minorHAnsi" w:cstheme="minorHAnsi"/>
          <w:b/>
          <w:caps/>
          <w:sz w:val="28"/>
          <w:szCs w:val="28"/>
        </w:rPr>
      </w:pPr>
      <w:r w:rsidRPr="001007F0">
        <w:rPr>
          <w:rFonts w:asciiTheme="minorHAnsi" w:hAnsiTheme="minorHAnsi" w:cstheme="minorHAnsi"/>
          <w:b/>
          <w:sz w:val="28"/>
          <w:szCs w:val="28"/>
        </w:rPr>
        <w:t xml:space="preserve">NATIONAL STANDARD STUDY PRICES FOR FULL-TIME MASTER DEGREE STUDIES </w:t>
      </w:r>
      <w:r w:rsidR="00EC534B" w:rsidRPr="001007F0">
        <w:rPr>
          <w:rFonts w:asciiTheme="minorHAnsi" w:hAnsiTheme="minorHAnsi" w:cstheme="minorHAnsi"/>
          <w:b/>
          <w:sz w:val="28"/>
          <w:szCs w:val="28"/>
        </w:rPr>
        <w:t>IN 202</w:t>
      </w:r>
      <w:r w:rsidR="00D3225D" w:rsidRPr="001007F0">
        <w:rPr>
          <w:rFonts w:asciiTheme="minorHAnsi" w:hAnsiTheme="minorHAnsi" w:cstheme="minorHAnsi"/>
          <w:b/>
          <w:sz w:val="28"/>
          <w:szCs w:val="28"/>
        </w:rPr>
        <w:t>5</w:t>
      </w:r>
    </w:p>
    <w:p w14:paraId="3A468BC0" w14:textId="77777777" w:rsidR="006667AD" w:rsidRPr="001007F0" w:rsidRDefault="006667AD" w:rsidP="001007F0">
      <w:pPr>
        <w:tabs>
          <w:tab w:val="left" w:pos="4680"/>
        </w:tabs>
        <w:rPr>
          <w:rFonts w:asciiTheme="minorHAnsi" w:hAnsiTheme="minorHAnsi" w:cstheme="minorHAnsi"/>
          <w:b/>
          <w:caps/>
          <w:sz w:val="16"/>
          <w:szCs w:val="16"/>
        </w:rPr>
      </w:pPr>
    </w:p>
    <w:tbl>
      <w:tblPr>
        <w:tblW w:w="148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0914"/>
        <w:gridCol w:w="2949"/>
      </w:tblGrid>
      <w:tr w:rsidR="00AE7AF7" w:rsidRPr="001007F0" w14:paraId="203F9166" w14:textId="73F636A6" w:rsidTr="001007F0">
        <w:trPr>
          <w:cantSplit/>
          <w:trHeight w:val="779"/>
        </w:trPr>
        <w:tc>
          <w:tcPr>
            <w:tcW w:w="10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1A78" w14:textId="1ED60A8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Seq. No.</w:t>
            </w:r>
          </w:p>
        </w:tc>
        <w:tc>
          <w:tcPr>
            <w:tcW w:w="1091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03FA4" w14:textId="23485549" w:rsidR="00AE7AF7" w:rsidRPr="001007F0" w:rsidRDefault="00A96BDD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S</w:t>
            </w:r>
            <w:r w:rsidR="00AE7AF7" w:rsidRPr="001007F0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 xml:space="preserve">tudy field (study programme’s group) </w:t>
            </w:r>
          </w:p>
        </w:tc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14:paraId="28FC9F26" w14:textId="77777777" w:rsidR="00A96BDD" w:rsidRPr="001007F0" w:rsidRDefault="00A96BDD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b/>
                <w:sz w:val="16"/>
                <w:szCs w:val="16"/>
                <w:lang w:eastAsia="lt-LT"/>
              </w:rPr>
            </w:pPr>
          </w:p>
          <w:p w14:paraId="1D2E9C6A" w14:textId="77777777" w:rsidR="00C30000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 xml:space="preserve">National standard study price </w:t>
            </w:r>
          </w:p>
          <w:p w14:paraId="479B68ED" w14:textId="20335B29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  <w:t>(EUR, per academic year)</w:t>
            </w:r>
          </w:p>
        </w:tc>
      </w:tr>
      <w:tr w:rsidR="00AE7AF7" w:rsidRPr="001007F0" w14:paraId="263C9161" w14:textId="77777777" w:rsidTr="001007F0">
        <w:trPr>
          <w:cantSplit/>
          <w:trHeight w:val="403"/>
        </w:trPr>
        <w:tc>
          <w:tcPr>
            <w:tcW w:w="1033" w:type="dxa"/>
            <w:vMerge/>
            <w:vAlign w:val="center"/>
          </w:tcPr>
          <w:p w14:paraId="6F5F75DE" w14:textId="7777777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0914" w:type="dxa"/>
            <w:vMerge/>
            <w:vAlign w:val="center"/>
          </w:tcPr>
          <w:p w14:paraId="3C39C015" w14:textId="7777777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2949" w:type="dxa"/>
            <w:vMerge/>
          </w:tcPr>
          <w:p w14:paraId="23641971" w14:textId="7777777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AE7AF7" w:rsidRPr="001007F0" w14:paraId="2EB60CD7" w14:textId="77777777" w:rsidTr="001007F0">
        <w:trPr>
          <w:cantSplit/>
          <w:trHeight w:val="20"/>
        </w:trPr>
        <w:tc>
          <w:tcPr>
            <w:tcW w:w="1033" w:type="dxa"/>
            <w:shd w:val="clear" w:color="auto" w:fill="auto"/>
            <w:vAlign w:val="center"/>
          </w:tcPr>
          <w:p w14:paraId="7CA1FDF1" w14:textId="7777777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6D98003B" w14:textId="66ABD823" w:rsidR="00AE7AF7" w:rsidRPr="00271803" w:rsidRDefault="00DF5942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Linguistics, Literary studies, Lingual Studies Study Fields, 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History, Philosophy, Theology, Heritage Studies, Religious Studies, Cultural Studies, History and Theory of Art, Economics, Political Sciences, Sociology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, S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ocial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Work, A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nt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hropology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Human Geography, I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nforma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tion Services, Communication, Publishing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Journalism Study Field</w:t>
            </w:r>
            <w:r w:rsidR="00271803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, Law</w:t>
            </w:r>
            <w:r w:rsidR="00AE7AF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D901D4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Business and Public Administration </w:t>
            </w:r>
            <w:r w:rsidR="00CA5E37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Study Fields’ Groups</w:t>
            </w:r>
          </w:p>
        </w:tc>
        <w:tc>
          <w:tcPr>
            <w:tcW w:w="2949" w:type="dxa"/>
          </w:tcPr>
          <w:p w14:paraId="339B7518" w14:textId="10386DFF" w:rsidR="00AE7AF7" w:rsidRPr="00271803" w:rsidRDefault="00807DC2" w:rsidP="001007F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4</w:t>
            </w:r>
            <w:r w:rsidR="001D10A3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6</w:t>
            </w:r>
            <w:r w:rsidR="00271803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90</w:t>
            </w:r>
          </w:p>
        </w:tc>
      </w:tr>
      <w:tr w:rsidR="00AE7AF7" w:rsidRPr="001007F0" w14:paraId="01C8E51A" w14:textId="77777777" w:rsidTr="001007F0">
        <w:trPr>
          <w:cantSplit/>
          <w:trHeight w:val="20"/>
        </w:trPr>
        <w:tc>
          <w:tcPr>
            <w:tcW w:w="1033" w:type="dxa"/>
            <w:shd w:val="clear" w:color="auto" w:fill="auto"/>
            <w:vAlign w:val="center"/>
          </w:tcPr>
          <w:p w14:paraId="191767A7" w14:textId="77777777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31F03973" w14:textId="41C76469" w:rsidR="00AE7AF7" w:rsidRPr="001007F0" w:rsidRDefault="00DF5942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Archaeology, </w:t>
            </w:r>
            <w:r w:rsidR="00271803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Professional Oral Hygiene, Public Health, Pharmacy, Nutrition, Medical Technology</w:t>
            </w:r>
            <w:r w:rsid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271803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Psychology,</w:t>
            </w:r>
            <w:r w:rsid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271803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Classical Studies,</w:t>
            </w:r>
            <w:r w:rsid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271803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Philology (by language), Translation Studies, Area Studies</w:t>
            </w:r>
            <w:r w:rsid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5A142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Rehabilitation, Nursing and Obstetrics, Recreational Sport Study Fields</w:t>
            </w:r>
            <w:r w:rsid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5A142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Mathematical Sciences</w:t>
            </w:r>
            <w:r w:rsid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5A142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Informatics Sciences, Physical Sciences, Life Sciences</w:t>
            </w:r>
            <w:r w:rsid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5A142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Engineering Sciences (except Pilot Training), Technological Sciences</w:t>
            </w:r>
            <w:r w:rsid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="005A142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Agricultural Sciences,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Education Sciences Study Fields’ Groups</w:t>
            </w:r>
          </w:p>
        </w:tc>
        <w:tc>
          <w:tcPr>
            <w:tcW w:w="2949" w:type="dxa"/>
          </w:tcPr>
          <w:p w14:paraId="73B4666F" w14:textId="42548031" w:rsidR="00AE7AF7" w:rsidRPr="001007F0" w:rsidRDefault="002F65FB" w:rsidP="001007F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5</w:t>
            </w:r>
            <w:r w:rsidR="005A1420" w:rsidRPr="005A142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641</w:t>
            </w:r>
          </w:p>
        </w:tc>
      </w:tr>
      <w:tr w:rsidR="00AE7AF7" w:rsidRPr="001007F0" w14:paraId="03C9BE63" w14:textId="77777777" w:rsidTr="001007F0">
        <w:trPr>
          <w:cantSplit/>
          <w:trHeight w:val="20"/>
        </w:trPr>
        <w:tc>
          <w:tcPr>
            <w:tcW w:w="1033" w:type="dxa"/>
            <w:shd w:val="clear" w:color="auto" w:fill="auto"/>
            <w:vAlign w:val="center"/>
          </w:tcPr>
          <w:p w14:paraId="7A48E10E" w14:textId="4EC99DB3" w:rsidR="00AE7AF7" w:rsidRPr="001007F0" w:rsidRDefault="00DF5942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58EED4B7" w14:textId="3C571A5A" w:rsidR="00AE7AF7" w:rsidRPr="001007F0" w:rsidRDefault="00C30000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Fine Art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Design Studies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,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Theatre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Film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Dance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Media Art Studies</w:t>
            </w:r>
            <w:r w:rsidR="00AE7AF7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, </w:t>
            </w: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Artworks Restoration, </w:t>
            </w:r>
            <w:r w:rsidR="00DF5942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Architecture, </w:t>
            </w:r>
            <w:r w:rsidR="00271803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Landscape Architecture, Competitive Sport, Medicine Study Fields, </w:t>
            </w:r>
            <w:r w:rsidR="002F65FB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Public Security Study Fields’ Group</w:t>
            </w:r>
          </w:p>
        </w:tc>
        <w:tc>
          <w:tcPr>
            <w:tcW w:w="2949" w:type="dxa"/>
          </w:tcPr>
          <w:p w14:paraId="6293D741" w14:textId="19E4262B" w:rsidR="00AE7AF7" w:rsidRPr="001007F0" w:rsidRDefault="00271803" w:rsidP="001007F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7116</w:t>
            </w:r>
          </w:p>
        </w:tc>
      </w:tr>
      <w:tr w:rsidR="00AE7AF7" w:rsidRPr="001007F0" w14:paraId="1BD1793C" w14:textId="77777777" w:rsidTr="001007F0">
        <w:trPr>
          <w:cantSplit/>
          <w:trHeight w:val="20"/>
        </w:trPr>
        <w:tc>
          <w:tcPr>
            <w:tcW w:w="1033" w:type="dxa"/>
            <w:shd w:val="clear" w:color="auto" w:fill="auto"/>
            <w:vAlign w:val="center"/>
          </w:tcPr>
          <w:p w14:paraId="6D9994D5" w14:textId="379671D1" w:rsidR="00AE7AF7" w:rsidRPr="001007F0" w:rsidRDefault="00DF5942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37EFAA69" w14:textId="348AF1F6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Mu</w:t>
            </w:r>
            <w:r w:rsidR="004116C6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sic</w:t>
            </w:r>
            <w:r w:rsidR="00DF5942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, Dentistry Study Fields, Veterinary Sciences Study Fields’ Group</w:t>
            </w:r>
          </w:p>
        </w:tc>
        <w:tc>
          <w:tcPr>
            <w:tcW w:w="2949" w:type="dxa"/>
          </w:tcPr>
          <w:p w14:paraId="458E0FA5" w14:textId="5A9C6930" w:rsidR="00AE7AF7" w:rsidRPr="00271803" w:rsidRDefault="001D10A3" w:rsidP="001007F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10</w:t>
            </w:r>
            <w:r w:rsidR="00271803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624</w:t>
            </w:r>
          </w:p>
        </w:tc>
      </w:tr>
      <w:tr w:rsidR="00AE7AF7" w:rsidRPr="001007F0" w14:paraId="6DFF4889" w14:textId="77777777" w:rsidTr="001007F0">
        <w:trPr>
          <w:cantSplit/>
          <w:trHeight w:val="20"/>
        </w:trPr>
        <w:tc>
          <w:tcPr>
            <w:tcW w:w="1033" w:type="dxa"/>
            <w:shd w:val="clear" w:color="auto" w:fill="auto"/>
            <w:vAlign w:val="center"/>
          </w:tcPr>
          <w:p w14:paraId="4E24A333" w14:textId="0D3213BE" w:rsidR="00AE7AF7" w:rsidRPr="001007F0" w:rsidRDefault="00DF5942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0914" w:type="dxa"/>
            <w:shd w:val="clear" w:color="auto" w:fill="auto"/>
            <w:vAlign w:val="center"/>
          </w:tcPr>
          <w:p w14:paraId="6E95C267" w14:textId="04D9EB8D" w:rsidR="00AE7AF7" w:rsidRPr="001007F0" w:rsidRDefault="00AE7AF7" w:rsidP="001007F0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Pilot</w:t>
            </w:r>
            <w:r w:rsidR="00C30000" w:rsidRPr="001007F0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Training </w:t>
            </w:r>
          </w:p>
        </w:tc>
        <w:tc>
          <w:tcPr>
            <w:tcW w:w="2949" w:type="dxa"/>
          </w:tcPr>
          <w:p w14:paraId="382C3041" w14:textId="63BE4E25" w:rsidR="00AE7AF7" w:rsidRPr="00271803" w:rsidRDefault="001D10A3" w:rsidP="001007F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</w:t>
            </w:r>
            <w:r w:rsidR="00271803" w:rsidRPr="0027180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1343</w:t>
            </w:r>
          </w:p>
        </w:tc>
      </w:tr>
    </w:tbl>
    <w:p w14:paraId="3B8563EC" w14:textId="12056E84" w:rsidR="005B26EB" w:rsidRDefault="005B26EB" w:rsidP="001007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56D6BA8" w14:textId="01C80498" w:rsidR="00AF1E20" w:rsidRDefault="00AF1E20" w:rsidP="001007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164F8BB" w14:textId="229890A5" w:rsidR="00AF1E20" w:rsidRPr="00AF1E20" w:rsidRDefault="00AF1E20" w:rsidP="001007F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F1E20">
        <w:rPr>
          <w:rFonts w:asciiTheme="minorHAnsi" w:hAnsiTheme="minorHAnsi" w:cstheme="minorHAnsi"/>
          <w:sz w:val="22"/>
          <w:szCs w:val="22"/>
        </w:rPr>
        <w:t xml:space="preserve">Link to the Order of the Minister </w:t>
      </w:r>
      <w:bookmarkStart w:id="0" w:name="_GoBack"/>
      <w:bookmarkEnd w:id="0"/>
      <w:r w:rsidRPr="00AF1E20">
        <w:rPr>
          <w:rFonts w:asciiTheme="minorHAnsi" w:hAnsiTheme="minorHAnsi" w:cstheme="minorHAnsi"/>
          <w:sz w:val="22"/>
          <w:szCs w:val="22"/>
        </w:rPr>
        <w:t xml:space="preserve">(only in Lithuanian language): </w:t>
      </w:r>
      <w:hyperlink r:id="rId10" w:history="1">
        <w:r w:rsidRPr="00AF1E20">
          <w:rPr>
            <w:rStyle w:val="Hyperlink"/>
            <w:rFonts w:asciiTheme="minorHAnsi" w:hAnsiTheme="minorHAnsi" w:cstheme="minorHAnsi"/>
            <w:sz w:val="22"/>
            <w:szCs w:val="22"/>
          </w:rPr>
          <w:t>https://www.e-tar.lt/portal/lt/legalAct/7fc40904f75511f0ac2aa76febda78c1</w:t>
        </w:r>
      </w:hyperlink>
      <w:r w:rsidRPr="00AF1E20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F1E20" w:rsidRPr="00AF1E20" w:rsidSect="00E51210">
      <w:headerReference w:type="first" r:id="rId11"/>
      <w:pgSz w:w="16840" w:h="11907" w:orient="landscape" w:code="9"/>
      <w:pgMar w:top="539" w:right="1000" w:bottom="561" w:left="1236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B6B1D" w14:textId="77777777" w:rsidR="00644522" w:rsidRDefault="00644522">
      <w:r>
        <w:separator/>
      </w:r>
    </w:p>
  </w:endnote>
  <w:endnote w:type="continuationSeparator" w:id="0">
    <w:p w14:paraId="1D222D98" w14:textId="77777777" w:rsidR="00644522" w:rsidRDefault="0064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5C39" w14:textId="77777777" w:rsidR="00644522" w:rsidRDefault="00644522">
      <w:r>
        <w:separator/>
      </w:r>
    </w:p>
  </w:footnote>
  <w:footnote w:type="continuationSeparator" w:id="0">
    <w:p w14:paraId="673B7462" w14:textId="77777777" w:rsidR="00644522" w:rsidRDefault="0064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1B9A" w14:textId="77777777" w:rsidR="00611AEB" w:rsidRDefault="00611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5E"/>
    <w:rsid w:val="00003E7A"/>
    <w:rsid w:val="00004C5E"/>
    <w:rsid w:val="0002139D"/>
    <w:rsid w:val="00043279"/>
    <w:rsid w:val="00046A6F"/>
    <w:rsid w:val="000519A8"/>
    <w:rsid w:val="00055AE5"/>
    <w:rsid w:val="000719D8"/>
    <w:rsid w:val="00072C11"/>
    <w:rsid w:val="00074F60"/>
    <w:rsid w:val="00077E2A"/>
    <w:rsid w:val="000938E1"/>
    <w:rsid w:val="000E4284"/>
    <w:rsid w:val="001007F0"/>
    <w:rsid w:val="0010774C"/>
    <w:rsid w:val="00121B8A"/>
    <w:rsid w:val="00124425"/>
    <w:rsid w:val="001A1D9B"/>
    <w:rsid w:val="001C36ED"/>
    <w:rsid w:val="001D10A3"/>
    <w:rsid w:val="00202945"/>
    <w:rsid w:val="00217752"/>
    <w:rsid w:val="0023620F"/>
    <w:rsid w:val="0024284F"/>
    <w:rsid w:val="00255684"/>
    <w:rsid w:val="00270F87"/>
    <w:rsid w:val="00271803"/>
    <w:rsid w:val="002750AE"/>
    <w:rsid w:val="00276A21"/>
    <w:rsid w:val="002A1D88"/>
    <w:rsid w:val="002B3226"/>
    <w:rsid w:val="002B3731"/>
    <w:rsid w:val="002B3BB6"/>
    <w:rsid w:val="002C6DB4"/>
    <w:rsid w:val="002E01CC"/>
    <w:rsid w:val="002E42DE"/>
    <w:rsid w:val="002F65FB"/>
    <w:rsid w:val="002F678D"/>
    <w:rsid w:val="00303507"/>
    <w:rsid w:val="00305F72"/>
    <w:rsid w:val="003073D9"/>
    <w:rsid w:val="00322CBF"/>
    <w:rsid w:val="00340DE2"/>
    <w:rsid w:val="003422F0"/>
    <w:rsid w:val="00370E3D"/>
    <w:rsid w:val="003760C8"/>
    <w:rsid w:val="00380A61"/>
    <w:rsid w:val="00383992"/>
    <w:rsid w:val="003A0FAB"/>
    <w:rsid w:val="003A32E1"/>
    <w:rsid w:val="003A7F53"/>
    <w:rsid w:val="003C7FA5"/>
    <w:rsid w:val="003E2B3A"/>
    <w:rsid w:val="003E7351"/>
    <w:rsid w:val="003F36CE"/>
    <w:rsid w:val="003F4A33"/>
    <w:rsid w:val="004116C6"/>
    <w:rsid w:val="004137B4"/>
    <w:rsid w:val="00421D7A"/>
    <w:rsid w:val="00435DB9"/>
    <w:rsid w:val="004367DC"/>
    <w:rsid w:val="00441551"/>
    <w:rsid w:val="004415CF"/>
    <w:rsid w:val="004903CD"/>
    <w:rsid w:val="00495F3B"/>
    <w:rsid w:val="004A4B0E"/>
    <w:rsid w:val="004A54CB"/>
    <w:rsid w:val="004B4FD9"/>
    <w:rsid w:val="004C2DCA"/>
    <w:rsid w:val="004D5A89"/>
    <w:rsid w:val="004E3AC0"/>
    <w:rsid w:val="004E7E23"/>
    <w:rsid w:val="004F796E"/>
    <w:rsid w:val="00500ED7"/>
    <w:rsid w:val="00502752"/>
    <w:rsid w:val="0053670F"/>
    <w:rsid w:val="00547280"/>
    <w:rsid w:val="005519A1"/>
    <w:rsid w:val="0055209D"/>
    <w:rsid w:val="005712FF"/>
    <w:rsid w:val="00572079"/>
    <w:rsid w:val="00576C7F"/>
    <w:rsid w:val="005A1420"/>
    <w:rsid w:val="005A329B"/>
    <w:rsid w:val="005A7A59"/>
    <w:rsid w:val="005B26EB"/>
    <w:rsid w:val="005D5FD8"/>
    <w:rsid w:val="005F5644"/>
    <w:rsid w:val="00611AEB"/>
    <w:rsid w:val="006228E2"/>
    <w:rsid w:val="00630442"/>
    <w:rsid w:val="00633D97"/>
    <w:rsid w:val="00637128"/>
    <w:rsid w:val="00643C0A"/>
    <w:rsid w:val="00644522"/>
    <w:rsid w:val="00661880"/>
    <w:rsid w:val="00662BDA"/>
    <w:rsid w:val="006667AD"/>
    <w:rsid w:val="00670037"/>
    <w:rsid w:val="006726A0"/>
    <w:rsid w:val="0068590C"/>
    <w:rsid w:val="00691C15"/>
    <w:rsid w:val="00696E36"/>
    <w:rsid w:val="006B6733"/>
    <w:rsid w:val="006C5B74"/>
    <w:rsid w:val="006D562A"/>
    <w:rsid w:val="006F0458"/>
    <w:rsid w:val="006F3B16"/>
    <w:rsid w:val="0072042B"/>
    <w:rsid w:val="00730E0E"/>
    <w:rsid w:val="0076148F"/>
    <w:rsid w:val="00770C44"/>
    <w:rsid w:val="00781709"/>
    <w:rsid w:val="007874AF"/>
    <w:rsid w:val="00790C78"/>
    <w:rsid w:val="007E1962"/>
    <w:rsid w:val="00801F19"/>
    <w:rsid w:val="00805D6A"/>
    <w:rsid w:val="00807DC2"/>
    <w:rsid w:val="008352CF"/>
    <w:rsid w:val="00853EAE"/>
    <w:rsid w:val="00862CFD"/>
    <w:rsid w:val="00881D2F"/>
    <w:rsid w:val="008910C1"/>
    <w:rsid w:val="008A04CA"/>
    <w:rsid w:val="008A184A"/>
    <w:rsid w:val="008C19D4"/>
    <w:rsid w:val="008C5E98"/>
    <w:rsid w:val="008F3D0D"/>
    <w:rsid w:val="008F7731"/>
    <w:rsid w:val="009511A5"/>
    <w:rsid w:val="00971A56"/>
    <w:rsid w:val="00981B96"/>
    <w:rsid w:val="00982AED"/>
    <w:rsid w:val="009B33A0"/>
    <w:rsid w:val="009C5796"/>
    <w:rsid w:val="009E5021"/>
    <w:rsid w:val="009F73D4"/>
    <w:rsid w:val="00A0003B"/>
    <w:rsid w:val="00A179A4"/>
    <w:rsid w:val="00A3674A"/>
    <w:rsid w:val="00A3742B"/>
    <w:rsid w:val="00A4523A"/>
    <w:rsid w:val="00A618AA"/>
    <w:rsid w:val="00A73397"/>
    <w:rsid w:val="00A82C78"/>
    <w:rsid w:val="00A94C04"/>
    <w:rsid w:val="00A96BDD"/>
    <w:rsid w:val="00AA1DFF"/>
    <w:rsid w:val="00AE7AF7"/>
    <w:rsid w:val="00AF1E20"/>
    <w:rsid w:val="00AF58DA"/>
    <w:rsid w:val="00B00BAF"/>
    <w:rsid w:val="00B077EA"/>
    <w:rsid w:val="00B07A3B"/>
    <w:rsid w:val="00B13C39"/>
    <w:rsid w:val="00B21512"/>
    <w:rsid w:val="00B33166"/>
    <w:rsid w:val="00B4381B"/>
    <w:rsid w:val="00B46BE4"/>
    <w:rsid w:val="00B56C8F"/>
    <w:rsid w:val="00B74573"/>
    <w:rsid w:val="00B75F0F"/>
    <w:rsid w:val="00B76BAC"/>
    <w:rsid w:val="00B80605"/>
    <w:rsid w:val="00B927EF"/>
    <w:rsid w:val="00BA65F9"/>
    <w:rsid w:val="00BA7BC7"/>
    <w:rsid w:val="00BB4C2A"/>
    <w:rsid w:val="00BC3B4F"/>
    <w:rsid w:val="00BE5B28"/>
    <w:rsid w:val="00BF101C"/>
    <w:rsid w:val="00BF3C60"/>
    <w:rsid w:val="00C13F47"/>
    <w:rsid w:val="00C162B1"/>
    <w:rsid w:val="00C20C4F"/>
    <w:rsid w:val="00C222C3"/>
    <w:rsid w:val="00C25248"/>
    <w:rsid w:val="00C25AB6"/>
    <w:rsid w:val="00C30000"/>
    <w:rsid w:val="00C52CC4"/>
    <w:rsid w:val="00C63583"/>
    <w:rsid w:val="00C867FC"/>
    <w:rsid w:val="00CA1D8B"/>
    <w:rsid w:val="00CA39E7"/>
    <w:rsid w:val="00CA5E37"/>
    <w:rsid w:val="00CA6D52"/>
    <w:rsid w:val="00CB35CE"/>
    <w:rsid w:val="00CE7E18"/>
    <w:rsid w:val="00D2328D"/>
    <w:rsid w:val="00D3225D"/>
    <w:rsid w:val="00D33384"/>
    <w:rsid w:val="00D70B77"/>
    <w:rsid w:val="00D83D37"/>
    <w:rsid w:val="00D84FE0"/>
    <w:rsid w:val="00D901D4"/>
    <w:rsid w:val="00DA0211"/>
    <w:rsid w:val="00DB47CC"/>
    <w:rsid w:val="00DB7142"/>
    <w:rsid w:val="00DC0A1F"/>
    <w:rsid w:val="00DD0539"/>
    <w:rsid w:val="00DE4B33"/>
    <w:rsid w:val="00DF529E"/>
    <w:rsid w:val="00DF5942"/>
    <w:rsid w:val="00E04180"/>
    <w:rsid w:val="00E068C3"/>
    <w:rsid w:val="00E06C11"/>
    <w:rsid w:val="00E22721"/>
    <w:rsid w:val="00E30061"/>
    <w:rsid w:val="00E34023"/>
    <w:rsid w:val="00E3402F"/>
    <w:rsid w:val="00E350B7"/>
    <w:rsid w:val="00E51210"/>
    <w:rsid w:val="00E55653"/>
    <w:rsid w:val="00E668CA"/>
    <w:rsid w:val="00E91F42"/>
    <w:rsid w:val="00EA2F81"/>
    <w:rsid w:val="00EA3614"/>
    <w:rsid w:val="00EC534B"/>
    <w:rsid w:val="00EC5CC6"/>
    <w:rsid w:val="00EC7555"/>
    <w:rsid w:val="00ED3E84"/>
    <w:rsid w:val="00EE1A5D"/>
    <w:rsid w:val="00EE55EF"/>
    <w:rsid w:val="00EF210A"/>
    <w:rsid w:val="00F32760"/>
    <w:rsid w:val="00F4467D"/>
    <w:rsid w:val="00F56698"/>
    <w:rsid w:val="00F575A6"/>
    <w:rsid w:val="00F61A47"/>
    <w:rsid w:val="00F6534C"/>
    <w:rsid w:val="00F714B5"/>
    <w:rsid w:val="00F96732"/>
    <w:rsid w:val="00FC4B42"/>
    <w:rsid w:val="00FD5714"/>
    <w:rsid w:val="00FD7990"/>
    <w:rsid w:val="00FE0F23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7E4FFEA"/>
  <w15:docId w15:val="{05C6B824-AAA4-40D2-B0FC-0523231E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4C5E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04C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4C5E"/>
  </w:style>
  <w:style w:type="paragraph" w:styleId="Header">
    <w:name w:val="header"/>
    <w:basedOn w:val="Normal"/>
    <w:rsid w:val="00BF101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E668CA"/>
    <w:rPr>
      <w:rFonts w:ascii="Tahoma" w:hAnsi="Tahoma" w:cs="Tahoma"/>
      <w:sz w:val="16"/>
      <w:szCs w:val="16"/>
    </w:rPr>
  </w:style>
  <w:style w:type="paragraph" w:customStyle="1" w:styleId="CharCharDiagramaCharChar1DiagramaCharChar1DiagramaDiagramaDiagramaDiagrama">
    <w:name w:val="Char Char Diagrama Char Char1 Diagrama Char Char1 Diagrama Diagrama Diagrama Diagrama"/>
    <w:basedOn w:val="Normal"/>
    <w:rsid w:val="0078170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/>
    </w:rPr>
  </w:style>
  <w:style w:type="character" w:customStyle="1" w:styleId="apple-converted-space">
    <w:name w:val="apple-converted-space"/>
    <w:rsid w:val="00576C7F"/>
  </w:style>
  <w:style w:type="character" w:styleId="Hyperlink">
    <w:name w:val="Hyperlink"/>
    <w:basedOn w:val="DefaultParagraphFont"/>
    <w:unhideWhenUsed/>
    <w:rsid w:val="00AF1E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7fc40904f75511f0ac2aa76febda78c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D9C1-44D7-4141-A027-073825481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93CEE-65EF-4174-B6DA-75C710DFC06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C296AC-86A9-4485-9C3C-104FA543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DB1FF9-D05D-445E-B9E3-2C832ADD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8ca3c975-4c11-4625-94f1-29eb132b3c9c</vt:lpstr>
      <vt:lpstr>PATVIRTINTA</vt:lpstr>
    </vt:vector>
  </TitlesOfParts>
  <Company>smm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8ca3c975-4c11-4625-94f1-29eb132b3c9c</dc:title>
  <dc:creator>vpaltanaviciute</dc:creator>
  <cp:lastModifiedBy>Eglė Fišeraitė</cp:lastModifiedBy>
  <cp:revision>8</cp:revision>
  <cp:lastPrinted>2018-02-05T13:09:00Z</cp:lastPrinted>
  <dcterms:created xsi:type="dcterms:W3CDTF">2024-01-12T07:11:00Z</dcterms:created>
  <dcterms:modified xsi:type="dcterms:W3CDTF">2026-01-28T12:49:00Z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